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rFonts w:hint="eastAsia" w:ascii="宋体"/>
          <w:b/>
          <w:bCs/>
          <w:color w:val="000000"/>
          <w:sz w:val="28"/>
          <w:szCs w:val="28"/>
        </w:rPr>
        <w:t>新能源汽车理实一体化中心项目实验场地改造项目</w:t>
      </w:r>
    </w:p>
    <w:p>
      <w:pPr>
        <w:jc w:val="center"/>
        <w:rPr>
          <w:rFonts w:ascii="仿宋" w:hAnsi="仿宋" w:eastAsia="仿宋"/>
          <w:b/>
          <w:bCs/>
          <w:kern w:val="2"/>
          <w:sz w:val="28"/>
          <w:szCs w:val="28"/>
        </w:rPr>
      </w:pPr>
      <w:r>
        <w:rPr>
          <w:rFonts w:hint="eastAsia"/>
          <w:b/>
          <w:bCs/>
          <w:sz w:val="28"/>
          <w:szCs w:val="28"/>
        </w:rPr>
        <w:t>竞争性磋商公告</w:t>
      </w:r>
      <w:bookmarkStart w:id="0" w:name="_Hlk24379207"/>
    </w:p>
    <w:bookmarkEnd w:id="0"/>
    <w:p>
      <w:pPr>
        <w:widowControl/>
        <w:shd w:val="clear" w:color="000000" w:fill="FFFFFF"/>
        <w:spacing w:line="360" w:lineRule="auto"/>
        <w:ind w:firstLine="440"/>
        <w:rPr>
          <w:rFonts w:ascii="宋体"/>
          <w:color w:val="000000"/>
          <w:sz w:val="22"/>
        </w:rPr>
      </w:pPr>
      <w:r>
        <w:rPr>
          <w:rFonts w:hint="eastAsia" w:ascii="宋体"/>
          <w:color w:val="000000"/>
          <w:sz w:val="22"/>
        </w:rPr>
        <w:t>按法定授权，</w:t>
      </w:r>
      <w:r>
        <w:rPr>
          <w:rFonts w:hint="eastAsia" w:ascii="宋体"/>
          <w:color w:val="000000"/>
          <w:sz w:val="22"/>
          <w:u w:val="single"/>
        </w:rPr>
        <w:t>安徽宝申工程项目管理咨询有限公司</w:t>
      </w:r>
      <w:r>
        <w:rPr>
          <w:rFonts w:hint="eastAsia" w:ascii="宋体"/>
          <w:color w:val="000000"/>
          <w:sz w:val="22"/>
        </w:rPr>
        <w:t>接受</w:t>
      </w:r>
      <w:r>
        <w:rPr>
          <w:rFonts w:hint="eastAsia" w:ascii="宋体"/>
          <w:color w:val="000000"/>
          <w:sz w:val="22"/>
          <w:u w:val="single"/>
        </w:rPr>
        <w:t>铜陵学院</w:t>
      </w:r>
      <w:r>
        <w:rPr>
          <w:rFonts w:hint="eastAsia" w:ascii="宋体"/>
          <w:color w:val="000000"/>
          <w:sz w:val="22"/>
        </w:rPr>
        <w:t>委托，现对</w:t>
      </w:r>
      <w:r>
        <w:rPr>
          <w:rFonts w:hint="eastAsia" w:ascii="宋体"/>
          <w:color w:val="000000"/>
          <w:sz w:val="22"/>
          <w:u w:val="single"/>
        </w:rPr>
        <w:t>新能源汽车理实一体化中心项目实验场地改造项目</w:t>
      </w:r>
      <w:r>
        <w:rPr>
          <w:rFonts w:hint="eastAsia" w:ascii="宋体"/>
          <w:color w:val="000000"/>
          <w:sz w:val="22"/>
        </w:rPr>
        <w:t>竞争性磋商，欢迎具备条件的供应商参加。</w:t>
      </w:r>
    </w:p>
    <w:p>
      <w:pPr>
        <w:widowControl/>
        <w:shd w:val="clear" w:color="000000" w:fill="FFFFFF"/>
        <w:spacing w:line="360" w:lineRule="auto"/>
        <w:ind w:firstLine="442"/>
        <w:rPr>
          <w:rFonts w:ascii="宋体"/>
          <w:b/>
          <w:color w:val="000000"/>
          <w:sz w:val="22"/>
        </w:rPr>
      </w:pPr>
    </w:p>
    <w:p>
      <w:pPr>
        <w:widowControl/>
        <w:shd w:val="clear" w:color="000000" w:fill="FFFFFF"/>
        <w:spacing w:line="360" w:lineRule="auto"/>
        <w:ind w:firstLine="442"/>
        <w:rPr>
          <w:rFonts w:ascii="宋体"/>
          <w:b/>
          <w:color w:val="000000"/>
          <w:sz w:val="22"/>
        </w:rPr>
      </w:pPr>
      <w:r>
        <w:rPr>
          <w:rFonts w:hint="eastAsia" w:ascii="宋体"/>
          <w:b/>
          <w:color w:val="000000"/>
          <w:sz w:val="22"/>
        </w:rPr>
        <w:t>一、项目名称及内容</w:t>
      </w:r>
    </w:p>
    <w:p>
      <w:pPr>
        <w:widowControl/>
        <w:shd w:val="clear" w:color="000000" w:fill="FFFFFF"/>
        <w:spacing w:line="360" w:lineRule="auto"/>
        <w:ind w:firstLine="440"/>
        <w:rPr>
          <w:rFonts w:ascii="宋体"/>
          <w:color w:val="000000"/>
          <w:sz w:val="22"/>
        </w:rPr>
      </w:pPr>
      <w:r>
        <w:rPr>
          <w:rFonts w:hint="eastAsia" w:ascii="宋体"/>
          <w:color w:val="000000"/>
          <w:sz w:val="22"/>
        </w:rPr>
        <w:t>1、项目名称：新能源汽车理实一体化中心项目实验场地改造项目</w:t>
      </w:r>
    </w:p>
    <w:p>
      <w:pPr>
        <w:widowControl/>
        <w:shd w:val="clear" w:color="000000" w:fill="FFFFFF"/>
        <w:spacing w:line="360" w:lineRule="auto"/>
        <w:ind w:firstLine="440"/>
        <w:rPr>
          <w:rFonts w:ascii="宋体"/>
          <w:color w:val="000000"/>
          <w:sz w:val="22"/>
        </w:rPr>
      </w:pPr>
      <w:r>
        <w:rPr>
          <w:rFonts w:hint="eastAsia" w:ascii="宋体"/>
          <w:color w:val="000000"/>
          <w:sz w:val="22"/>
        </w:rPr>
        <w:t>2、项目编号：AHBST02209ZB</w:t>
      </w:r>
    </w:p>
    <w:p>
      <w:pPr>
        <w:widowControl/>
        <w:shd w:val="clear" w:color="000000" w:fill="FFFFFF"/>
        <w:spacing w:line="360" w:lineRule="auto"/>
        <w:ind w:firstLine="440"/>
        <w:rPr>
          <w:rFonts w:ascii="宋体"/>
          <w:b/>
          <w:bCs/>
          <w:color w:val="000000"/>
          <w:sz w:val="22"/>
        </w:rPr>
      </w:pPr>
      <w:r>
        <w:rPr>
          <w:rFonts w:ascii="宋体"/>
          <w:color w:val="000000"/>
          <w:sz w:val="22"/>
        </w:rPr>
        <w:t>3</w:t>
      </w:r>
      <w:r>
        <w:rPr>
          <w:rFonts w:hint="eastAsia" w:ascii="宋体"/>
          <w:color w:val="000000"/>
          <w:sz w:val="22"/>
        </w:rPr>
        <w:t>、采购单位：铜陵学院</w:t>
      </w:r>
    </w:p>
    <w:p>
      <w:pPr>
        <w:widowControl/>
        <w:shd w:val="clear" w:color="000000" w:fill="FFFFFF"/>
        <w:spacing w:line="360" w:lineRule="auto"/>
        <w:ind w:firstLine="440"/>
        <w:rPr>
          <w:rFonts w:ascii="宋体"/>
          <w:color w:val="000000"/>
          <w:sz w:val="22"/>
        </w:rPr>
      </w:pPr>
      <w:r>
        <w:rPr>
          <w:rFonts w:ascii="宋体"/>
          <w:color w:val="000000"/>
          <w:sz w:val="22"/>
        </w:rPr>
        <w:t>4</w:t>
      </w:r>
      <w:r>
        <w:rPr>
          <w:rFonts w:hint="eastAsia" w:ascii="宋体"/>
          <w:color w:val="000000"/>
          <w:sz w:val="22"/>
        </w:rPr>
        <w:t>、代理单位：安徽宝申工程项目管理咨询有限公司</w:t>
      </w:r>
    </w:p>
    <w:p>
      <w:pPr>
        <w:widowControl/>
        <w:shd w:val="clear" w:color="000000" w:fill="FFFFFF"/>
        <w:spacing w:line="360" w:lineRule="auto"/>
        <w:ind w:firstLine="440"/>
        <w:rPr>
          <w:rFonts w:ascii="宋体"/>
          <w:color w:val="000000"/>
          <w:sz w:val="22"/>
        </w:rPr>
      </w:pPr>
      <w:r>
        <w:rPr>
          <w:rFonts w:ascii="宋体"/>
          <w:color w:val="000000"/>
          <w:sz w:val="22"/>
        </w:rPr>
        <w:t>5</w:t>
      </w:r>
      <w:r>
        <w:rPr>
          <w:rFonts w:hint="eastAsia" w:ascii="宋体"/>
          <w:color w:val="000000"/>
          <w:sz w:val="22"/>
        </w:rPr>
        <w:t>、采购方式：竞争性磋商-综合评分</w:t>
      </w:r>
    </w:p>
    <w:p>
      <w:pPr>
        <w:widowControl/>
        <w:shd w:val="clear" w:color="000000" w:fill="FFFFFF"/>
        <w:spacing w:line="360" w:lineRule="auto"/>
        <w:ind w:firstLine="440"/>
        <w:rPr>
          <w:rFonts w:ascii="宋体"/>
          <w:color w:val="000000"/>
          <w:sz w:val="22"/>
        </w:rPr>
      </w:pPr>
      <w:r>
        <w:rPr>
          <w:rFonts w:ascii="宋体"/>
          <w:color w:val="000000"/>
          <w:sz w:val="22"/>
        </w:rPr>
        <w:t>6</w:t>
      </w:r>
      <w:r>
        <w:rPr>
          <w:rFonts w:hint="eastAsia" w:ascii="宋体"/>
          <w:color w:val="000000"/>
          <w:sz w:val="22"/>
        </w:rPr>
        <w:t>、项目概况：新能源汽车理实一体化中心项目实验场地改造项目，主要包含线路铺设、地板铺设、设备基础、吊顶处理、墙面处理、标牌制作安装；详见工程量清单所载明的内容。</w:t>
      </w:r>
    </w:p>
    <w:p>
      <w:pPr>
        <w:widowControl/>
        <w:shd w:val="clear" w:color="000000" w:fill="FFFFFF"/>
        <w:spacing w:line="360" w:lineRule="auto"/>
        <w:ind w:firstLine="440"/>
        <w:rPr>
          <w:rFonts w:ascii="宋体"/>
          <w:color w:val="000000"/>
          <w:sz w:val="22"/>
        </w:rPr>
      </w:pPr>
      <w:r>
        <w:rPr>
          <w:rFonts w:ascii="宋体"/>
          <w:color w:val="000000"/>
          <w:sz w:val="22"/>
        </w:rPr>
        <w:t>7</w:t>
      </w:r>
      <w:r>
        <w:rPr>
          <w:rFonts w:hint="eastAsia" w:ascii="宋体"/>
          <w:color w:val="000000"/>
          <w:sz w:val="22"/>
        </w:rPr>
        <w:t>、资金来源：财政资金</w:t>
      </w:r>
    </w:p>
    <w:p>
      <w:pPr>
        <w:widowControl/>
        <w:shd w:val="clear" w:color="000000" w:fill="FFFFFF"/>
        <w:spacing w:line="360" w:lineRule="auto"/>
        <w:ind w:firstLine="440"/>
        <w:rPr>
          <w:rFonts w:ascii="宋体"/>
          <w:iCs/>
          <w:color w:val="000000"/>
          <w:sz w:val="22"/>
        </w:rPr>
      </w:pPr>
      <w:r>
        <w:rPr>
          <w:rFonts w:ascii="宋体"/>
          <w:color w:val="000000"/>
          <w:sz w:val="22"/>
        </w:rPr>
        <w:t>8</w:t>
      </w:r>
      <w:r>
        <w:rPr>
          <w:rFonts w:hint="eastAsia" w:ascii="宋体"/>
          <w:color w:val="000000"/>
          <w:sz w:val="22"/>
        </w:rPr>
        <w:t>、项目预算：</w:t>
      </w:r>
      <w:r>
        <w:rPr>
          <w:rFonts w:hint="eastAsia" w:ascii="宋体"/>
          <w:iCs/>
          <w:color w:val="000000"/>
          <w:sz w:val="22"/>
        </w:rPr>
        <w:t>约人民币23万元</w:t>
      </w:r>
    </w:p>
    <w:p>
      <w:pPr>
        <w:widowControl/>
        <w:shd w:val="clear" w:color="000000" w:fill="FFFFFF"/>
        <w:spacing w:line="360" w:lineRule="auto"/>
        <w:ind w:firstLine="440"/>
        <w:rPr>
          <w:rFonts w:ascii="宋体"/>
          <w:i/>
          <w:color w:val="000000"/>
          <w:sz w:val="22"/>
        </w:rPr>
      </w:pPr>
      <w:r>
        <w:rPr>
          <w:rFonts w:ascii="宋体"/>
          <w:color w:val="000000"/>
          <w:sz w:val="22"/>
        </w:rPr>
        <w:t>9</w:t>
      </w:r>
      <w:r>
        <w:rPr>
          <w:rFonts w:hint="eastAsia" w:ascii="宋体"/>
          <w:color w:val="000000"/>
          <w:sz w:val="22"/>
        </w:rPr>
        <w:t>、最高限价：</w:t>
      </w:r>
      <w:r>
        <w:rPr>
          <w:rFonts w:hint="eastAsia" w:ascii="宋体"/>
          <w:iCs/>
          <w:color w:val="000000"/>
          <w:sz w:val="22"/>
        </w:rPr>
        <w:t>人民币222663.09元</w:t>
      </w:r>
    </w:p>
    <w:p>
      <w:pPr>
        <w:widowControl/>
        <w:shd w:val="clear" w:color="000000" w:fill="FFFFFF"/>
        <w:spacing w:line="360" w:lineRule="auto"/>
        <w:ind w:firstLine="440"/>
        <w:rPr>
          <w:rFonts w:ascii="宋体"/>
          <w:color w:val="000000"/>
          <w:sz w:val="22"/>
        </w:rPr>
      </w:pPr>
      <w:r>
        <w:rPr>
          <w:rFonts w:ascii="宋体"/>
          <w:color w:val="000000"/>
          <w:sz w:val="22"/>
        </w:rPr>
        <w:t>10</w:t>
      </w:r>
      <w:r>
        <w:rPr>
          <w:rFonts w:hint="eastAsia" w:ascii="宋体"/>
          <w:color w:val="000000"/>
          <w:sz w:val="22"/>
        </w:rPr>
        <w:t>、标段（包别）划分：一个标段</w:t>
      </w:r>
    </w:p>
    <w:p>
      <w:pPr>
        <w:widowControl/>
        <w:shd w:val="clear" w:color="000000" w:fill="FFFFFF"/>
        <w:spacing w:line="360" w:lineRule="auto"/>
        <w:ind w:firstLine="442"/>
        <w:rPr>
          <w:rFonts w:ascii="宋体"/>
          <w:b/>
          <w:color w:val="000000"/>
          <w:sz w:val="22"/>
        </w:rPr>
      </w:pPr>
    </w:p>
    <w:p>
      <w:pPr>
        <w:widowControl/>
        <w:shd w:val="clear" w:color="000000" w:fill="FFFFFF"/>
        <w:spacing w:line="360" w:lineRule="auto"/>
        <w:ind w:firstLine="442"/>
        <w:rPr>
          <w:rFonts w:ascii="宋体"/>
          <w:b/>
          <w:color w:val="000000"/>
          <w:sz w:val="22"/>
        </w:rPr>
      </w:pPr>
      <w:r>
        <w:rPr>
          <w:rFonts w:hint="eastAsia" w:ascii="宋体"/>
          <w:b/>
          <w:color w:val="000000"/>
          <w:sz w:val="22"/>
        </w:rPr>
        <w:t>二、供应商资格</w:t>
      </w:r>
    </w:p>
    <w:p>
      <w:pPr>
        <w:widowControl/>
        <w:shd w:val="clear" w:color="000000" w:fill="FFFFFF"/>
        <w:spacing w:line="360" w:lineRule="auto"/>
        <w:ind w:firstLine="440"/>
        <w:rPr>
          <w:rFonts w:ascii="宋体"/>
          <w:sz w:val="22"/>
        </w:rPr>
      </w:pPr>
      <w:r>
        <w:rPr>
          <w:rFonts w:hint="eastAsia" w:ascii="宋体"/>
          <w:sz w:val="22"/>
        </w:rPr>
        <w:t>1、供应商资质要求：需同时具有①具有建筑工程施工总承包叁级及以上资质或建筑装修装饰工程专业承包二级及以上资质②具有有效的安全生产许可证。</w:t>
      </w:r>
    </w:p>
    <w:p>
      <w:pPr>
        <w:widowControl/>
        <w:shd w:val="clear" w:color="000000" w:fill="FFFFFF"/>
        <w:spacing w:line="360" w:lineRule="auto"/>
        <w:ind w:firstLine="440"/>
        <w:rPr>
          <w:rFonts w:ascii="宋体"/>
          <w:sz w:val="22"/>
        </w:rPr>
      </w:pPr>
      <w:r>
        <w:rPr>
          <w:rFonts w:hint="eastAsia" w:ascii="宋体"/>
          <w:sz w:val="22"/>
        </w:rPr>
        <w:t>2</w:t>
      </w:r>
      <w:r>
        <w:rPr>
          <w:rFonts w:hint="eastAsia" w:ascii="宋体"/>
          <w:sz w:val="22"/>
          <w:lang w:eastAsia="zh-CN"/>
        </w:rPr>
        <w:t>、</w:t>
      </w:r>
      <w:r>
        <w:rPr>
          <w:rFonts w:hint="eastAsia" w:ascii="宋体"/>
          <w:sz w:val="22"/>
        </w:rPr>
        <w:t xml:space="preserve">拟派项目负责人：①具备有效的建筑工程专业贰级或以上注册建造师资格且具备有效的安全生产考核合格 </w:t>
      </w:r>
      <w:r>
        <w:rPr>
          <w:rFonts w:ascii="宋体"/>
          <w:sz w:val="22"/>
        </w:rPr>
        <w:t xml:space="preserve">B </w:t>
      </w:r>
      <w:r>
        <w:rPr>
          <w:rFonts w:hint="eastAsia" w:ascii="宋体"/>
          <w:sz w:val="22"/>
        </w:rPr>
        <w:t xml:space="preserve">类证书，无在建工程②提供在本单位近半年来连续三个月的社保缴纳证明（如为无需缴纳社保的人员则应提供包括免征/免缴/退休证等免交证明）。 </w:t>
      </w:r>
    </w:p>
    <w:p>
      <w:pPr>
        <w:widowControl/>
        <w:shd w:val="clear" w:color="000000" w:fill="FFFFFF"/>
        <w:spacing w:line="360" w:lineRule="auto"/>
        <w:ind w:firstLine="440"/>
        <w:rPr>
          <w:rFonts w:ascii="宋体"/>
          <w:sz w:val="22"/>
        </w:rPr>
      </w:pPr>
      <w:r>
        <w:rPr>
          <w:rFonts w:ascii="宋体"/>
          <w:sz w:val="22"/>
        </w:rPr>
        <w:t>3</w:t>
      </w:r>
      <w:r>
        <w:rPr>
          <w:rFonts w:hint="eastAsia" w:ascii="宋体"/>
          <w:sz w:val="22"/>
          <w:lang w:eastAsia="zh-CN"/>
        </w:rPr>
        <w:t>、</w:t>
      </w:r>
      <w:r>
        <w:rPr>
          <w:rFonts w:hint="eastAsia" w:ascii="宋体"/>
          <w:sz w:val="22"/>
        </w:rPr>
        <w:t>本项目不接受联合体磋商，资格审查采取资格后审进行。资格后审将在开标后由评委会审查。</w:t>
      </w:r>
    </w:p>
    <w:p>
      <w:pPr>
        <w:widowControl/>
        <w:shd w:val="clear" w:color="000000" w:fill="FFFFFF"/>
        <w:spacing w:line="360" w:lineRule="auto"/>
        <w:ind w:firstLine="440"/>
        <w:rPr>
          <w:rFonts w:ascii="宋体"/>
          <w:sz w:val="22"/>
        </w:rPr>
      </w:pPr>
      <w:r>
        <w:rPr>
          <w:rFonts w:hint="eastAsia" w:ascii="宋体"/>
          <w:sz w:val="22"/>
        </w:rPr>
        <w:t>4</w:t>
      </w:r>
      <w:r>
        <w:rPr>
          <w:rFonts w:hint="eastAsia" w:ascii="宋体"/>
          <w:sz w:val="22"/>
          <w:lang w:eastAsia="zh-CN"/>
        </w:rPr>
        <w:t>、</w:t>
      </w:r>
      <w:r>
        <w:rPr>
          <w:rFonts w:hint="eastAsia" w:ascii="宋体"/>
          <w:sz w:val="22"/>
        </w:rPr>
        <w:t>不良行为记录分值；供应商不良行为记录符合下列情形之一的，不得参与磋商：</w:t>
      </w:r>
    </w:p>
    <w:p>
      <w:pPr>
        <w:widowControl/>
        <w:shd w:val="clear" w:color="000000" w:fill="FFFFFF"/>
        <w:spacing w:line="360" w:lineRule="auto"/>
        <w:ind w:firstLine="440"/>
        <w:rPr>
          <w:rFonts w:ascii="宋体"/>
          <w:sz w:val="22"/>
        </w:rPr>
      </w:pPr>
      <w:r>
        <w:rPr>
          <w:rFonts w:hint="eastAsia" w:ascii="宋体"/>
          <w:sz w:val="22"/>
        </w:rPr>
        <w:t>（1）被铜陵市公共资源交易监管部门记不良行为记录累计分值在10分（含）-15分（不含），且最近一次不良行为记录公布日距开标日未超过3个月；</w:t>
      </w:r>
    </w:p>
    <w:p>
      <w:pPr>
        <w:widowControl/>
        <w:shd w:val="clear" w:color="000000" w:fill="FFFFFF"/>
        <w:spacing w:line="360" w:lineRule="auto"/>
        <w:ind w:firstLine="440"/>
        <w:rPr>
          <w:rFonts w:ascii="宋体"/>
          <w:sz w:val="22"/>
        </w:rPr>
      </w:pPr>
      <w:r>
        <w:rPr>
          <w:rFonts w:hint="eastAsia" w:ascii="宋体"/>
          <w:sz w:val="22"/>
        </w:rPr>
        <w:t>（2）被铜陵市公共资源交易监管部门记不良行为记录累计分值在15分（含）-20分（不含），且最近一次不良行为记录公布日距开标日未超过6个月；</w:t>
      </w:r>
    </w:p>
    <w:p>
      <w:pPr>
        <w:widowControl/>
        <w:shd w:val="clear" w:color="000000" w:fill="FFFFFF"/>
        <w:spacing w:line="360" w:lineRule="auto"/>
        <w:ind w:firstLine="440"/>
        <w:rPr>
          <w:rFonts w:ascii="宋体"/>
          <w:sz w:val="22"/>
        </w:rPr>
      </w:pPr>
      <w:r>
        <w:rPr>
          <w:rFonts w:hint="eastAsia" w:ascii="宋体"/>
          <w:sz w:val="22"/>
        </w:rPr>
        <w:t xml:space="preserve">（3）被铜陵市公共资源交易监管部门记不良行为记录累计分值达20分（含）以上，且最近一次不良行为记录公布日距开标日未超过12个月。 </w:t>
      </w:r>
    </w:p>
    <w:p>
      <w:pPr>
        <w:widowControl/>
        <w:shd w:val="clear" w:color="000000" w:fill="FFFFFF"/>
        <w:spacing w:line="360" w:lineRule="auto"/>
        <w:ind w:firstLine="440"/>
        <w:rPr>
          <w:rFonts w:ascii="宋体"/>
          <w:sz w:val="22"/>
        </w:rPr>
      </w:pPr>
      <w:r>
        <w:rPr>
          <w:rFonts w:hint="eastAsia" w:ascii="宋体"/>
          <w:sz w:val="22"/>
        </w:rPr>
        <w:t>具体查询铜陵市公共资源交易监管网信用信息栏，具体分值等信息以开标前一日至开标当日“铜陵市市场竞争主体不良行为记录分值汇总表”为准。 不良行为记录分值仅指铜陵市公共资源交易监管部门记录的不良行为分值。</w:t>
      </w:r>
    </w:p>
    <w:p>
      <w:pPr>
        <w:widowControl/>
        <w:shd w:val="clear" w:color="000000" w:fill="FFFFFF"/>
        <w:spacing w:line="360" w:lineRule="auto"/>
        <w:ind w:firstLine="440"/>
        <w:rPr>
          <w:rFonts w:ascii="宋体"/>
          <w:sz w:val="22"/>
        </w:rPr>
      </w:pPr>
      <w:r>
        <w:rPr>
          <w:rFonts w:hint="eastAsia" w:ascii="宋体"/>
          <w:sz w:val="22"/>
        </w:rPr>
        <w:t>5</w:t>
      </w:r>
      <w:r>
        <w:rPr>
          <w:rFonts w:hint="eastAsia" w:ascii="宋体"/>
          <w:sz w:val="22"/>
          <w:lang w:eastAsia="zh-CN"/>
        </w:rPr>
        <w:t>、</w:t>
      </w:r>
      <w:r>
        <w:rPr>
          <w:rFonts w:hint="eastAsia" w:ascii="宋体"/>
          <w:sz w:val="22"/>
        </w:rPr>
        <w:t>供应商存在以下不良信用记录情形之一的，不得推荐并确定为中标候选人：</w:t>
      </w:r>
    </w:p>
    <w:p>
      <w:pPr>
        <w:widowControl/>
        <w:shd w:val="clear" w:color="000000" w:fill="FFFFFF"/>
        <w:spacing w:line="360" w:lineRule="auto"/>
        <w:ind w:firstLine="440"/>
        <w:rPr>
          <w:rFonts w:ascii="宋体"/>
          <w:sz w:val="22"/>
        </w:rPr>
      </w:pPr>
      <w:r>
        <w:rPr>
          <w:rFonts w:hint="eastAsia" w:ascii="宋体"/>
          <w:sz w:val="22"/>
        </w:rPr>
        <w:t>(1）供应商或拟派项目经理（项目负责人）被人民法院列入失信被执行人的；</w:t>
      </w:r>
    </w:p>
    <w:p>
      <w:pPr>
        <w:widowControl/>
        <w:shd w:val="clear" w:color="000000" w:fill="FFFFFF"/>
        <w:spacing w:line="360" w:lineRule="auto"/>
        <w:ind w:firstLine="440"/>
        <w:rPr>
          <w:rFonts w:ascii="宋体"/>
          <w:sz w:val="22"/>
        </w:rPr>
      </w:pPr>
      <w:r>
        <w:rPr>
          <w:rFonts w:hint="eastAsia" w:ascii="宋体"/>
          <w:sz w:val="22"/>
        </w:rPr>
        <w:t>(2）供应商或其法定代表人或拟派项目经理（项目负责人）被人民检察院列入行贿犯罪档案的；</w:t>
      </w:r>
    </w:p>
    <w:p>
      <w:pPr>
        <w:widowControl/>
        <w:shd w:val="clear" w:color="000000" w:fill="FFFFFF"/>
        <w:spacing w:line="360" w:lineRule="auto"/>
        <w:ind w:firstLine="440"/>
        <w:rPr>
          <w:rFonts w:ascii="宋体"/>
          <w:sz w:val="22"/>
        </w:rPr>
      </w:pPr>
      <w:r>
        <w:rPr>
          <w:rFonts w:hint="eastAsia" w:ascii="宋体"/>
          <w:sz w:val="22"/>
        </w:rPr>
        <w:t>(3）供应商被工商行政管理部门列入企业经营异常名录的；</w:t>
      </w:r>
    </w:p>
    <w:p>
      <w:pPr>
        <w:widowControl/>
        <w:shd w:val="clear" w:color="000000" w:fill="FFFFFF"/>
        <w:spacing w:line="360" w:lineRule="auto"/>
        <w:ind w:firstLine="440"/>
        <w:rPr>
          <w:rFonts w:ascii="宋体"/>
          <w:sz w:val="22"/>
        </w:rPr>
      </w:pPr>
      <w:r>
        <w:rPr>
          <w:rFonts w:hint="eastAsia" w:ascii="宋体"/>
          <w:sz w:val="22"/>
        </w:rPr>
        <w:t>(4）供应商被税务部门列入重大税收违法案件当事人名单的；</w:t>
      </w:r>
    </w:p>
    <w:p>
      <w:pPr>
        <w:widowControl/>
        <w:shd w:val="clear" w:color="000000" w:fill="FFFFFF"/>
        <w:spacing w:line="360" w:lineRule="auto"/>
        <w:ind w:firstLine="440"/>
        <w:rPr>
          <w:rFonts w:ascii="宋体"/>
          <w:sz w:val="22"/>
        </w:rPr>
      </w:pPr>
      <w:r>
        <w:rPr>
          <w:rFonts w:hint="eastAsia" w:ascii="宋体"/>
          <w:sz w:val="22"/>
        </w:rPr>
        <w:t>(5）供应商被政府监管部门列入严重违法失信行为记录名单的。</w:t>
      </w:r>
    </w:p>
    <w:p>
      <w:pPr>
        <w:widowControl/>
        <w:shd w:val="clear" w:color="000000" w:fill="FFFFFF"/>
        <w:spacing w:line="360" w:lineRule="auto"/>
        <w:ind w:firstLine="442"/>
        <w:rPr>
          <w:rFonts w:ascii="宋体"/>
          <w:b/>
          <w:color w:val="000000"/>
          <w:sz w:val="22"/>
        </w:rPr>
      </w:pPr>
      <w:r>
        <w:rPr>
          <w:rFonts w:hint="eastAsia" w:ascii="宋体"/>
          <w:b/>
          <w:color w:val="000000"/>
          <w:sz w:val="22"/>
        </w:rPr>
        <w:t xml:space="preserve">  </w:t>
      </w:r>
    </w:p>
    <w:p>
      <w:pPr>
        <w:widowControl/>
        <w:shd w:val="clear" w:color="000000" w:fill="FFFFFF"/>
        <w:spacing w:line="360" w:lineRule="auto"/>
        <w:ind w:firstLine="442"/>
        <w:rPr>
          <w:rFonts w:ascii="宋体"/>
          <w:b/>
          <w:color w:val="000000"/>
          <w:sz w:val="22"/>
        </w:rPr>
      </w:pPr>
      <w:r>
        <w:rPr>
          <w:rFonts w:hint="eastAsia" w:ascii="宋体"/>
          <w:b/>
          <w:color w:val="000000"/>
          <w:sz w:val="22"/>
        </w:rPr>
        <w:t>三、竞争性磋商文件的获取：</w:t>
      </w:r>
    </w:p>
    <w:p>
      <w:pPr>
        <w:spacing w:after="120"/>
        <w:ind w:firstLine="440"/>
        <w:rPr>
          <w:rFonts w:ascii="宋体"/>
          <w:color w:val="000000"/>
          <w:sz w:val="22"/>
        </w:rPr>
      </w:pPr>
      <w:r>
        <w:rPr>
          <w:rFonts w:hint="eastAsia" w:ascii="宋体"/>
          <w:color w:val="000000"/>
          <w:sz w:val="22"/>
        </w:rPr>
        <w:t>1、报名方式：供应商需自行于安徽宝申工程项目管理咨询有限公司官网或政府采购网的本公告发布网页下载《采购文件领取确认表》，并于指定时间携带《采购文件领取确认表》领取相应竞争性磋商文件及工程量清单等附属文件。</w:t>
      </w:r>
    </w:p>
    <w:p>
      <w:pPr>
        <w:widowControl/>
        <w:shd w:val="clear" w:color="000000" w:fill="FFFFFF"/>
        <w:spacing w:line="360" w:lineRule="auto"/>
        <w:ind w:firstLine="442" w:firstLineChars="200"/>
        <w:rPr>
          <w:rFonts w:ascii="宋体"/>
          <w:b/>
          <w:bCs/>
          <w:color w:val="000000"/>
          <w:sz w:val="22"/>
        </w:rPr>
      </w:pPr>
      <w:r>
        <w:rPr>
          <w:rFonts w:hint="eastAsia" w:ascii="宋体"/>
          <w:b/>
          <w:bCs/>
          <w:color w:val="000000"/>
          <w:sz w:val="22"/>
        </w:rPr>
        <w:t>报名日期：</w:t>
      </w:r>
      <w:r>
        <w:rPr>
          <w:rFonts w:hint="eastAsia" w:ascii="宋体"/>
          <w:b/>
          <w:bCs/>
          <w:color w:val="000000"/>
          <w:sz w:val="22"/>
          <w:u w:val="single"/>
        </w:rPr>
        <w:t>2022年</w:t>
      </w:r>
      <w:r>
        <w:rPr>
          <w:rFonts w:ascii="宋体"/>
          <w:b/>
          <w:bCs/>
          <w:color w:val="000000"/>
          <w:sz w:val="22"/>
          <w:u w:val="single"/>
        </w:rPr>
        <w:t>11</w:t>
      </w:r>
      <w:r>
        <w:rPr>
          <w:rFonts w:hint="eastAsia" w:ascii="宋体"/>
          <w:b/>
          <w:bCs/>
          <w:color w:val="000000"/>
          <w:sz w:val="22"/>
          <w:u w:val="single"/>
        </w:rPr>
        <w:t>月19日</w:t>
      </w:r>
      <w:r>
        <w:rPr>
          <w:rFonts w:hint="eastAsia" w:ascii="宋体"/>
          <w:b/>
          <w:bCs/>
          <w:color w:val="000000"/>
          <w:sz w:val="22"/>
        </w:rPr>
        <w:t>至</w:t>
      </w:r>
      <w:r>
        <w:rPr>
          <w:rFonts w:hint="eastAsia" w:ascii="宋体"/>
          <w:b/>
          <w:bCs/>
          <w:color w:val="000000"/>
          <w:sz w:val="22"/>
          <w:u w:val="single"/>
        </w:rPr>
        <w:t>2022年</w:t>
      </w:r>
      <w:r>
        <w:rPr>
          <w:rFonts w:ascii="宋体"/>
          <w:b/>
          <w:bCs/>
          <w:color w:val="000000"/>
          <w:sz w:val="22"/>
          <w:u w:val="single"/>
        </w:rPr>
        <w:t>11</w:t>
      </w:r>
      <w:r>
        <w:rPr>
          <w:rFonts w:hint="eastAsia" w:ascii="宋体"/>
          <w:b/>
          <w:bCs/>
          <w:color w:val="000000"/>
          <w:sz w:val="22"/>
          <w:u w:val="single"/>
        </w:rPr>
        <w:t>月</w:t>
      </w:r>
      <w:r>
        <w:rPr>
          <w:rFonts w:ascii="宋体"/>
          <w:b/>
          <w:bCs/>
          <w:color w:val="000000"/>
          <w:sz w:val="22"/>
          <w:u w:val="single"/>
        </w:rPr>
        <w:t>25</w:t>
      </w:r>
      <w:r>
        <w:rPr>
          <w:rFonts w:hint="eastAsia" w:ascii="宋体"/>
          <w:b/>
          <w:bCs/>
          <w:color w:val="000000"/>
          <w:sz w:val="22"/>
          <w:u w:val="single"/>
        </w:rPr>
        <w:t>日</w:t>
      </w:r>
      <w:r>
        <w:rPr>
          <w:rFonts w:hint="eastAsia" w:ascii="宋体"/>
          <w:b/>
          <w:bCs/>
          <w:color w:val="000000"/>
          <w:sz w:val="22"/>
        </w:rPr>
        <w:t>（法定休息、节假日除外）</w:t>
      </w:r>
    </w:p>
    <w:p>
      <w:pPr>
        <w:widowControl/>
        <w:shd w:val="clear" w:color="000000" w:fill="FFFFFF"/>
        <w:spacing w:line="360" w:lineRule="auto"/>
        <w:ind w:firstLine="440"/>
        <w:rPr>
          <w:rFonts w:ascii="宋体"/>
          <w:b/>
          <w:bCs/>
          <w:color w:val="000000"/>
          <w:sz w:val="22"/>
        </w:rPr>
      </w:pPr>
      <w:r>
        <w:rPr>
          <w:rFonts w:hint="eastAsia" w:ascii="宋体"/>
          <w:b/>
          <w:bCs/>
          <w:color w:val="000000"/>
          <w:sz w:val="22"/>
        </w:rPr>
        <w:t>报名工作时间：9:00—1</w:t>
      </w:r>
      <w:r>
        <w:rPr>
          <w:rFonts w:ascii="宋体"/>
          <w:b/>
          <w:bCs/>
          <w:color w:val="000000"/>
          <w:sz w:val="22"/>
        </w:rPr>
        <w:t>1</w:t>
      </w:r>
      <w:r>
        <w:rPr>
          <w:rFonts w:hint="eastAsia" w:ascii="宋体"/>
          <w:b/>
          <w:bCs/>
          <w:color w:val="000000"/>
          <w:sz w:val="22"/>
        </w:rPr>
        <w:t>:15；1</w:t>
      </w:r>
      <w:r>
        <w:rPr>
          <w:rFonts w:ascii="宋体"/>
          <w:b/>
          <w:bCs/>
          <w:color w:val="000000"/>
          <w:sz w:val="22"/>
        </w:rPr>
        <w:t>4</w:t>
      </w:r>
      <w:r>
        <w:rPr>
          <w:rFonts w:hint="eastAsia" w:ascii="宋体"/>
          <w:b/>
          <w:bCs/>
          <w:color w:val="000000"/>
          <w:sz w:val="22"/>
        </w:rPr>
        <w:t>:00—16</w:t>
      </w:r>
      <w:r>
        <w:rPr>
          <w:rFonts w:ascii="宋体"/>
          <w:b/>
          <w:bCs/>
          <w:color w:val="000000"/>
          <w:sz w:val="22"/>
        </w:rPr>
        <w:t>:</w:t>
      </w:r>
      <w:r>
        <w:rPr>
          <w:rFonts w:hint="eastAsia" w:ascii="宋体"/>
          <w:b/>
          <w:bCs/>
          <w:color w:val="000000"/>
          <w:sz w:val="22"/>
        </w:rPr>
        <w:t>00；</w:t>
      </w:r>
    </w:p>
    <w:p>
      <w:pPr>
        <w:widowControl/>
        <w:shd w:val="clear" w:color="000000" w:fill="FFFFFF"/>
        <w:spacing w:line="360" w:lineRule="auto"/>
        <w:ind w:firstLine="440"/>
        <w:rPr>
          <w:rFonts w:ascii="宋体"/>
          <w:b/>
          <w:color w:val="000000"/>
          <w:sz w:val="22"/>
        </w:rPr>
      </w:pPr>
      <w:r>
        <w:rPr>
          <w:rFonts w:hint="eastAsia" w:ascii="宋体"/>
          <w:b/>
          <w:color w:val="000000"/>
          <w:sz w:val="22"/>
        </w:rPr>
        <w:t>未现场确认的供应商，响应文件开标时将不予受理。</w:t>
      </w:r>
    </w:p>
    <w:p>
      <w:pPr>
        <w:spacing w:after="120"/>
        <w:ind w:firstLine="440"/>
        <w:rPr>
          <w:rFonts w:ascii="宋体"/>
          <w:b/>
          <w:color w:val="000000"/>
          <w:sz w:val="22"/>
          <w:u w:val="single"/>
        </w:rPr>
      </w:pPr>
      <w:r>
        <w:rPr>
          <w:rFonts w:hint="eastAsia" w:ascii="宋体"/>
          <w:color w:val="000000"/>
          <w:sz w:val="22"/>
        </w:rPr>
        <w:t>2、</w:t>
      </w:r>
      <w:r>
        <w:rPr>
          <w:rFonts w:hint="eastAsia" w:ascii="宋体"/>
          <w:b/>
          <w:color w:val="000000"/>
          <w:sz w:val="22"/>
        </w:rPr>
        <w:t>确认地点：</w:t>
      </w:r>
      <w:r>
        <w:rPr>
          <w:rFonts w:hint="eastAsia" w:ascii="宋体"/>
          <w:b/>
          <w:color w:val="000000"/>
          <w:sz w:val="22"/>
          <w:u w:val="single"/>
        </w:rPr>
        <w:t>安徽省铜陵市铜官区长江西路1</w:t>
      </w:r>
      <w:r>
        <w:rPr>
          <w:rFonts w:ascii="宋体"/>
          <w:b/>
          <w:color w:val="000000"/>
          <w:sz w:val="22"/>
          <w:u w:val="single"/>
        </w:rPr>
        <w:t>805</w:t>
      </w:r>
      <w:r>
        <w:rPr>
          <w:rFonts w:hint="eastAsia" w:ascii="宋体"/>
          <w:b/>
          <w:color w:val="000000"/>
          <w:sz w:val="22"/>
          <w:u w:val="single"/>
        </w:rPr>
        <w:t>号 锦湖大厦三楼</w:t>
      </w:r>
    </w:p>
    <w:p>
      <w:pPr>
        <w:spacing w:after="120"/>
        <w:ind w:firstLine="1849" w:firstLineChars="837"/>
        <w:rPr>
          <w:rFonts w:ascii="宋体"/>
          <w:b/>
          <w:color w:val="000000"/>
          <w:sz w:val="22"/>
        </w:rPr>
      </w:pPr>
      <w:r>
        <w:rPr>
          <w:rFonts w:hint="eastAsia" w:ascii="宋体"/>
          <w:b/>
          <w:color w:val="000000"/>
          <w:sz w:val="22"/>
          <w:u w:val="single"/>
        </w:rPr>
        <w:t>安徽宝申工程项目管理咨询有限公司3</w:t>
      </w:r>
      <w:r>
        <w:rPr>
          <w:rFonts w:ascii="宋体"/>
          <w:b/>
          <w:color w:val="000000"/>
          <w:sz w:val="22"/>
          <w:u w:val="single"/>
        </w:rPr>
        <w:t>1</w:t>
      </w:r>
      <w:r>
        <w:rPr>
          <w:rFonts w:hint="eastAsia" w:ascii="宋体"/>
          <w:b/>
          <w:color w:val="000000"/>
          <w:sz w:val="22"/>
          <w:u w:val="single"/>
        </w:rPr>
        <w:t>0室</w:t>
      </w:r>
    </w:p>
    <w:p>
      <w:pPr>
        <w:widowControl/>
        <w:shd w:val="clear" w:color="000000" w:fill="FFFFFF"/>
        <w:spacing w:line="360" w:lineRule="auto"/>
        <w:ind w:firstLine="440"/>
        <w:rPr>
          <w:rFonts w:ascii="宋体"/>
          <w:sz w:val="22"/>
        </w:rPr>
      </w:pPr>
      <w:r>
        <w:rPr>
          <w:rFonts w:hint="eastAsia" w:ascii="宋体"/>
          <w:sz w:val="22"/>
        </w:rPr>
        <w:t>3、领取文件需携带的资料（需加盖供应商公章）：</w:t>
      </w:r>
    </w:p>
    <w:p>
      <w:pPr>
        <w:widowControl/>
        <w:shd w:val="clear" w:color="000000" w:fill="FFFFFF"/>
        <w:spacing w:line="360" w:lineRule="auto"/>
        <w:ind w:firstLine="440"/>
        <w:rPr>
          <w:rFonts w:ascii="宋体"/>
          <w:b/>
          <w:sz w:val="22"/>
        </w:rPr>
      </w:pPr>
      <w:r>
        <w:rPr>
          <w:rFonts w:ascii="宋体"/>
          <w:b/>
          <w:sz w:val="22"/>
        </w:rPr>
        <w:t>(</w:t>
      </w:r>
      <w:r>
        <w:rPr>
          <w:rFonts w:hint="eastAsia" w:ascii="宋体"/>
          <w:b/>
          <w:sz w:val="22"/>
        </w:rPr>
        <w:t>1</w:t>
      </w:r>
      <w:r>
        <w:rPr>
          <w:rFonts w:ascii="宋体"/>
          <w:b/>
          <w:sz w:val="22"/>
        </w:rPr>
        <w:t>)</w:t>
      </w:r>
      <w:r>
        <w:rPr>
          <w:rFonts w:hint="eastAsia"/>
          <w:b/>
        </w:rPr>
        <w:t xml:space="preserve"> </w:t>
      </w:r>
      <w:r>
        <w:rPr>
          <w:rFonts w:hint="eastAsia" w:ascii="宋体"/>
          <w:b/>
          <w:sz w:val="22"/>
        </w:rPr>
        <w:t>采购文件领取确认表；</w:t>
      </w:r>
    </w:p>
    <w:p>
      <w:pPr>
        <w:widowControl/>
        <w:shd w:val="clear" w:color="000000" w:fill="FFFFFF"/>
        <w:spacing w:line="360" w:lineRule="auto"/>
        <w:ind w:firstLine="440"/>
        <w:rPr>
          <w:rFonts w:ascii="宋体"/>
          <w:b/>
          <w:sz w:val="22"/>
        </w:rPr>
      </w:pPr>
      <w:r>
        <w:rPr>
          <w:rFonts w:ascii="宋体"/>
          <w:b/>
          <w:sz w:val="22"/>
        </w:rPr>
        <w:t>(</w:t>
      </w:r>
      <w:r>
        <w:rPr>
          <w:rFonts w:hint="eastAsia" w:ascii="宋体"/>
          <w:b/>
          <w:sz w:val="22"/>
        </w:rPr>
        <w:t>2</w:t>
      </w:r>
      <w:r>
        <w:rPr>
          <w:rFonts w:ascii="宋体"/>
          <w:b/>
          <w:sz w:val="22"/>
        </w:rPr>
        <w:t>)</w:t>
      </w:r>
      <w:r>
        <w:rPr>
          <w:rFonts w:hint="eastAsia"/>
          <w:b/>
        </w:rPr>
        <w:t xml:space="preserve"> </w:t>
      </w:r>
      <w:r>
        <w:rPr>
          <w:rFonts w:hint="eastAsia" w:ascii="宋体"/>
          <w:b/>
          <w:sz w:val="22"/>
        </w:rPr>
        <w:t>授权委托书（或法人身份证明）</w:t>
      </w:r>
    </w:p>
    <w:p>
      <w:pPr>
        <w:widowControl/>
        <w:shd w:val="clear" w:color="000000" w:fill="FFFFFF"/>
        <w:spacing w:line="360" w:lineRule="auto"/>
        <w:ind w:firstLine="440"/>
        <w:rPr>
          <w:rFonts w:ascii="宋体"/>
          <w:b/>
          <w:sz w:val="22"/>
        </w:rPr>
      </w:pPr>
      <w:r>
        <w:rPr>
          <w:rFonts w:ascii="宋体"/>
          <w:b/>
          <w:sz w:val="22"/>
        </w:rPr>
        <w:t>(</w:t>
      </w:r>
      <w:r>
        <w:rPr>
          <w:rFonts w:hint="eastAsia" w:ascii="宋体"/>
          <w:b/>
          <w:sz w:val="22"/>
        </w:rPr>
        <w:t>3</w:t>
      </w:r>
      <w:r>
        <w:rPr>
          <w:rFonts w:ascii="宋体"/>
          <w:b/>
          <w:sz w:val="22"/>
        </w:rPr>
        <w:t>)</w:t>
      </w:r>
      <w:r>
        <w:rPr>
          <w:rFonts w:hint="eastAsia" w:ascii="宋体"/>
          <w:b/>
          <w:sz w:val="22"/>
        </w:rPr>
        <w:t xml:space="preserve"> 受托人身份证复印件（或法定代表人身份证复印件）；</w:t>
      </w:r>
    </w:p>
    <w:p>
      <w:pPr>
        <w:widowControl/>
        <w:shd w:val="clear" w:color="000000" w:fill="FFFFFF"/>
        <w:spacing w:line="360" w:lineRule="auto"/>
        <w:ind w:firstLine="440"/>
        <w:rPr>
          <w:rFonts w:ascii="宋体"/>
          <w:b/>
          <w:sz w:val="18"/>
          <w:szCs w:val="18"/>
        </w:rPr>
      </w:pPr>
      <w:r>
        <w:rPr>
          <w:rFonts w:hint="eastAsia" w:ascii="宋体"/>
          <w:b/>
          <w:i/>
          <w:iCs/>
          <w:sz w:val="18"/>
          <w:szCs w:val="18"/>
        </w:rPr>
        <w:t>注：磋商文件及资料如有修正，将以“补充公告”形式或磋商文件领取平台公布，所有供应商应自行关注</w:t>
      </w:r>
    </w:p>
    <w:p>
      <w:pPr>
        <w:widowControl/>
        <w:shd w:val="clear" w:color="000000" w:fill="FFFFFF"/>
        <w:spacing w:line="360" w:lineRule="auto"/>
        <w:ind w:firstLine="440"/>
        <w:rPr>
          <w:rFonts w:ascii="宋体"/>
          <w:sz w:val="22"/>
        </w:rPr>
      </w:pPr>
      <w:r>
        <w:rPr>
          <w:rFonts w:hint="eastAsia" w:ascii="宋体"/>
          <w:sz w:val="22"/>
        </w:rPr>
        <w:t>4、竞争性磋商文件及有关磋商文件资料工本费为100元/份，供应商在报名时代理机构人员现场收取，售后不退。</w:t>
      </w:r>
    </w:p>
    <w:p>
      <w:pPr>
        <w:widowControl/>
        <w:shd w:val="clear" w:color="000000" w:fill="FFFFFF"/>
        <w:spacing w:line="360" w:lineRule="auto"/>
        <w:ind w:firstLine="440"/>
        <w:rPr>
          <w:rFonts w:ascii="宋体"/>
          <w:sz w:val="22"/>
        </w:rPr>
      </w:pPr>
      <w:r>
        <w:rPr>
          <w:rFonts w:hint="eastAsia" w:ascii="宋体"/>
          <w:sz w:val="22"/>
        </w:rPr>
        <w:t>5、有意参加磋商者，请于报名确认时间内持相关报名资料报名并缴纳工本费。</w:t>
      </w:r>
    </w:p>
    <w:p>
      <w:pPr>
        <w:widowControl/>
        <w:shd w:val="clear" w:color="000000" w:fill="FFFFFF"/>
        <w:spacing w:line="360" w:lineRule="auto"/>
        <w:ind w:firstLine="442"/>
        <w:rPr>
          <w:rFonts w:ascii="宋体"/>
          <w:b/>
          <w:color w:val="000000"/>
          <w:sz w:val="22"/>
        </w:rPr>
      </w:pPr>
    </w:p>
    <w:p>
      <w:pPr>
        <w:widowControl/>
        <w:shd w:val="clear" w:color="000000" w:fill="FFFFFF"/>
        <w:spacing w:line="360" w:lineRule="auto"/>
        <w:ind w:firstLine="442"/>
        <w:rPr>
          <w:rFonts w:ascii="宋体"/>
          <w:b/>
          <w:color w:val="000000"/>
          <w:sz w:val="22"/>
          <w:lang w:eastAsia="zh-TW"/>
        </w:rPr>
      </w:pPr>
      <w:r>
        <w:rPr>
          <w:rFonts w:hint="eastAsia" w:ascii="宋体"/>
          <w:b/>
          <w:color w:val="000000"/>
          <w:sz w:val="22"/>
        </w:rPr>
        <w:t>四</w:t>
      </w:r>
      <w:r>
        <w:rPr>
          <w:rFonts w:hint="eastAsia" w:ascii="宋体"/>
          <w:b/>
          <w:color w:val="000000"/>
          <w:sz w:val="22"/>
          <w:lang w:eastAsia="zh-TW"/>
        </w:rPr>
        <w:t>、开标时间及地点</w:t>
      </w:r>
    </w:p>
    <w:p>
      <w:pPr>
        <w:widowControl/>
        <w:spacing w:line="360" w:lineRule="auto"/>
        <w:ind w:firstLine="420"/>
        <w:rPr>
          <w:rFonts w:ascii="宋体"/>
          <w:color w:val="000000"/>
          <w:sz w:val="22"/>
        </w:rPr>
      </w:pPr>
      <w:r>
        <w:rPr>
          <w:rFonts w:hint="eastAsia" w:ascii="宋体"/>
          <w:color w:val="000000"/>
          <w:sz w:val="22"/>
        </w:rPr>
        <w:t>1</w:t>
      </w:r>
      <w:r>
        <w:rPr>
          <w:rFonts w:hint="eastAsia" w:ascii="宋体"/>
          <w:color w:val="000000"/>
          <w:sz w:val="22"/>
          <w:lang w:eastAsia="zh-TW"/>
        </w:rPr>
        <w:t>、开标时间：</w:t>
      </w:r>
      <w:r>
        <w:rPr>
          <w:rFonts w:hint="eastAsia" w:ascii="宋体"/>
          <w:b/>
          <w:bCs/>
          <w:color w:val="000000"/>
          <w:sz w:val="22"/>
          <w:u w:val="single"/>
        </w:rPr>
        <w:t>2022</w:t>
      </w:r>
      <w:r>
        <w:rPr>
          <w:rFonts w:hint="eastAsia" w:ascii="宋体"/>
          <w:b/>
          <w:bCs/>
          <w:color w:val="000000"/>
          <w:sz w:val="22"/>
          <w:lang w:eastAsia="zh-TW"/>
        </w:rPr>
        <w:t>年</w:t>
      </w:r>
      <w:r>
        <w:rPr>
          <w:rFonts w:ascii="宋体"/>
          <w:b/>
          <w:bCs/>
          <w:color w:val="000000"/>
          <w:sz w:val="22"/>
          <w:u w:val="single"/>
        </w:rPr>
        <w:t>11</w:t>
      </w:r>
      <w:r>
        <w:rPr>
          <w:rFonts w:hint="eastAsia" w:ascii="宋体"/>
          <w:b/>
          <w:bCs/>
          <w:color w:val="000000"/>
          <w:sz w:val="22"/>
          <w:lang w:eastAsia="zh-TW"/>
        </w:rPr>
        <w:t>月</w:t>
      </w:r>
      <w:r>
        <w:rPr>
          <w:rFonts w:ascii="宋体"/>
          <w:b/>
          <w:bCs/>
          <w:color w:val="000000"/>
          <w:sz w:val="22"/>
          <w:u w:val="single"/>
        </w:rPr>
        <w:t>29</w:t>
      </w:r>
      <w:r>
        <w:rPr>
          <w:rFonts w:hint="eastAsia" w:ascii="宋体"/>
          <w:b/>
          <w:bCs/>
          <w:color w:val="000000"/>
          <w:sz w:val="22"/>
          <w:lang w:eastAsia="zh-TW"/>
        </w:rPr>
        <w:t>日</w:t>
      </w:r>
      <w:r>
        <w:rPr>
          <w:rFonts w:ascii="宋体"/>
          <w:b/>
          <w:bCs/>
          <w:color w:val="000000"/>
          <w:sz w:val="22"/>
          <w:u w:val="single"/>
        </w:rPr>
        <w:t>09</w:t>
      </w:r>
      <w:r>
        <w:rPr>
          <w:rFonts w:hint="eastAsia" w:ascii="宋体"/>
          <w:b/>
          <w:bCs/>
          <w:color w:val="000000"/>
          <w:sz w:val="22"/>
          <w:lang w:eastAsia="zh-TW"/>
        </w:rPr>
        <w:t>时</w:t>
      </w:r>
      <w:r>
        <w:rPr>
          <w:rFonts w:ascii="宋体"/>
          <w:b/>
          <w:bCs/>
          <w:color w:val="000000"/>
          <w:sz w:val="22"/>
          <w:u w:val="single"/>
        </w:rPr>
        <w:t>15</w:t>
      </w:r>
      <w:r>
        <w:rPr>
          <w:rFonts w:hint="eastAsia" w:ascii="宋体"/>
          <w:b/>
          <w:bCs/>
          <w:color w:val="000000"/>
          <w:sz w:val="22"/>
        </w:rPr>
        <w:t>分</w:t>
      </w:r>
      <w:r>
        <w:rPr>
          <w:rFonts w:hint="eastAsia" w:ascii="宋体"/>
          <w:b/>
          <w:bCs/>
          <w:color w:val="000000"/>
          <w:sz w:val="22"/>
          <w:lang w:eastAsia="zh-TW"/>
        </w:rPr>
        <w:t>（北京时间）</w:t>
      </w:r>
    </w:p>
    <w:p>
      <w:pPr>
        <w:widowControl/>
        <w:spacing w:line="360" w:lineRule="auto"/>
        <w:ind w:firstLine="420"/>
        <w:rPr>
          <w:rFonts w:ascii="宋体"/>
          <w:b/>
          <w:bCs/>
          <w:sz w:val="22"/>
          <w:u w:val="single"/>
        </w:rPr>
      </w:pPr>
      <w:r>
        <w:rPr>
          <w:rFonts w:hint="eastAsia" w:ascii="宋体"/>
          <w:sz w:val="22"/>
        </w:rPr>
        <w:t>2</w:t>
      </w:r>
      <w:r>
        <w:rPr>
          <w:rFonts w:hint="eastAsia" w:ascii="宋体"/>
          <w:sz w:val="22"/>
          <w:lang w:eastAsia="zh-TW"/>
        </w:rPr>
        <w:t>、开标地点：</w:t>
      </w:r>
      <w:r>
        <w:rPr>
          <w:rFonts w:hint="eastAsia" w:ascii="宋体"/>
          <w:b/>
          <w:bCs/>
          <w:sz w:val="22"/>
          <w:u w:val="single"/>
        </w:rPr>
        <w:t>铜陵市北斗星城B1金融大厦（B1-2号入口）至十二层1207招标大厅</w:t>
      </w:r>
    </w:p>
    <w:p>
      <w:pPr>
        <w:widowControl/>
        <w:spacing w:line="360" w:lineRule="auto"/>
        <w:ind w:firstLine="420"/>
        <w:rPr>
          <w:rFonts w:ascii="宋体"/>
          <w:b/>
          <w:color w:val="000000"/>
          <w:sz w:val="22"/>
        </w:rPr>
      </w:pPr>
    </w:p>
    <w:p>
      <w:pPr>
        <w:widowControl/>
        <w:spacing w:line="360" w:lineRule="auto"/>
        <w:ind w:firstLine="420"/>
        <w:rPr>
          <w:rFonts w:ascii="宋体"/>
          <w:b/>
          <w:color w:val="000000"/>
          <w:sz w:val="22"/>
        </w:rPr>
      </w:pPr>
      <w:r>
        <w:rPr>
          <w:rFonts w:hint="eastAsia" w:ascii="宋体"/>
          <w:b/>
          <w:color w:val="000000"/>
          <w:sz w:val="22"/>
        </w:rPr>
        <w:t>五、响应文件的递交</w:t>
      </w:r>
    </w:p>
    <w:p>
      <w:pPr>
        <w:spacing w:after="120" w:line="360" w:lineRule="auto"/>
        <w:ind w:firstLine="440"/>
        <w:rPr>
          <w:rFonts w:ascii="宋体"/>
          <w:color w:val="000000"/>
          <w:sz w:val="22"/>
          <w:u w:val="single"/>
        </w:rPr>
      </w:pPr>
      <w:r>
        <w:rPr>
          <w:rFonts w:hint="eastAsia" w:ascii="宋体"/>
          <w:color w:val="000000"/>
          <w:sz w:val="22"/>
        </w:rPr>
        <w:t>1</w:t>
      </w:r>
      <w:r>
        <w:rPr>
          <w:rFonts w:hint="eastAsia" w:ascii="宋体"/>
          <w:color w:val="000000"/>
          <w:sz w:val="22"/>
          <w:lang w:eastAsia="zh-CN"/>
        </w:rPr>
        <w:t>、</w:t>
      </w:r>
      <w:r>
        <w:rPr>
          <w:rFonts w:hint="eastAsia" w:ascii="宋体"/>
          <w:color w:val="000000"/>
          <w:sz w:val="22"/>
        </w:rPr>
        <w:t>响应文件的递交的截止时间（磋商截止时间，下同）为</w:t>
      </w:r>
      <w:r>
        <w:rPr>
          <w:rFonts w:hint="eastAsia" w:ascii="宋体"/>
          <w:b/>
          <w:bCs/>
          <w:color w:val="000000"/>
          <w:sz w:val="22"/>
          <w:u w:val="single"/>
        </w:rPr>
        <w:t>2022</w:t>
      </w:r>
      <w:r>
        <w:rPr>
          <w:rFonts w:hint="eastAsia" w:ascii="宋体"/>
          <w:b/>
          <w:bCs/>
          <w:color w:val="000000"/>
          <w:sz w:val="22"/>
        </w:rPr>
        <w:t>年</w:t>
      </w:r>
      <w:r>
        <w:rPr>
          <w:rFonts w:ascii="宋体"/>
          <w:b/>
          <w:bCs/>
          <w:color w:val="000000"/>
          <w:sz w:val="22"/>
          <w:u w:val="single"/>
        </w:rPr>
        <w:t>11</w:t>
      </w:r>
      <w:r>
        <w:rPr>
          <w:rFonts w:hint="eastAsia" w:ascii="宋体"/>
          <w:b/>
          <w:bCs/>
          <w:color w:val="000000"/>
          <w:sz w:val="22"/>
        </w:rPr>
        <w:t>月</w:t>
      </w:r>
      <w:r>
        <w:rPr>
          <w:rFonts w:ascii="宋体"/>
          <w:b/>
          <w:bCs/>
          <w:color w:val="000000"/>
          <w:sz w:val="22"/>
          <w:u w:val="single"/>
        </w:rPr>
        <w:t>29</w:t>
      </w:r>
      <w:r>
        <w:rPr>
          <w:rFonts w:hint="eastAsia" w:ascii="宋体"/>
          <w:b/>
          <w:bCs/>
          <w:color w:val="000000"/>
          <w:sz w:val="22"/>
        </w:rPr>
        <w:t>日</w:t>
      </w:r>
      <w:r>
        <w:rPr>
          <w:rFonts w:ascii="宋体"/>
          <w:b/>
          <w:bCs/>
          <w:color w:val="000000"/>
          <w:sz w:val="22"/>
          <w:u w:val="single"/>
        </w:rPr>
        <w:t>09</w:t>
      </w:r>
      <w:r>
        <w:rPr>
          <w:rFonts w:hint="eastAsia" w:ascii="宋体"/>
          <w:b/>
          <w:bCs/>
          <w:color w:val="000000"/>
          <w:sz w:val="22"/>
        </w:rPr>
        <w:t>时</w:t>
      </w:r>
      <w:r>
        <w:rPr>
          <w:rFonts w:ascii="宋体"/>
          <w:b/>
          <w:bCs/>
          <w:color w:val="000000"/>
          <w:sz w:val="22"/>
          <w:u w:val="single"/>
        </w:rPr>
        <w:t>15</w:t>
      </w:r>
      <w:r>
        <w:rPr>
          <w:rFonts w:hint="eastAsia" w:ascii="宋体"/>
          <w:b/>
          <w:bCs/>
          <w:color w:val="000000"/>
          <w:sz w:val="22"/>
        </w:rPr>
        <w:t>分</w:t>
      </w:r>
      <w:r>
        <w:rPr>
          <w:rFonts w:hint="eastAsia" w:ascii="宋体"/>
          <w:color w:val="000000"/>
          <w:sz w:val="22"/>
        </w:rPr>
        <w:t>，递交地点同开标地点。</w:t>
      </w:r>
    </w:p>
    <w:p>
      <w:pPr>
        <w:spacing w:after="120" w:line="360" w:lineRule="auto"/>
        <w:ind w:right="-512" w:firstLine="440"/>
        <w:rPr>
          <w:rFonts w:ascii="宋体"/>
          <w:color w:val="000000"/>
          <w:sz w:val="22"/>
        </w:rPr>
      </w:pPr>
      <w:r>
        <w:rPr>
          <w:rFonts w:hint="eastAsia" w:ascii="宋体"/>
          <w:color w:val="000000"/>
          <w:sz w:val="22"/>
        </w:rPr>
        <w:t>2</w:t>
      </w:r>
      <w:r>
        <w:rPr>
          <w:rFonts w:hint="eastAsia" w:ascii="宋体"/>
          <w:color w:val="000000"/>
          <w:sz w:val="22"/>
          <w:lang w:eastAsia="zh-CN"/>
        </w:rPr>
        <w:t>、</w:t>
      </w:r>
      <w:r>
        <w:rPr>
          <w:rFonts w:hint="eastAsia" w:ascii="宋体"/>
          <w:color w:val="000000"/>
          <w:sz w:val="22"/>
        </w:rPr>
        <w:t>逾期送达、未送达指定地点或未经代理机构确认已领取采购文件的供应商所递交的响应文件，在开标时将不予受理。</w:t>
      </w:r>
    </w:p>
    <w:p>
      <w:pPr>
        <w:spacing w:after="120" w:line="360" w:lineRule="auto"/>
        <w:ind w:right="-512" w:firstLine="442" w:firstLineChars="200"/>
        <w:rPr>
          <w:rFonts w:ascii="宋体"/>
          <w:b/>
          <w:color w:val="000000"/>
          <w:sz w:val="22"/>
        </w:rPr>
      </w:pPr>
    </w:p>
    <w:p>
      <w:pPr>
        <w:spacing w:after="120" w:line="360" w:lineRule="auto"/>
        <w:ind w:right="-512" w:firstLine="442" w:firstLineChars="200"/>
        <w:rPr>
          <w:rFonts w:ascii="宋体"/>
          <w:color w:val="000000"/>
          <w:sz w:val="22"/>
        </w:rPr>
      </w:pPr>
      <w:r>
        <w:rPr>
          <w:rFonts w:hint="eastAsia" w:ascii="宋体"/>
          <w:b/>
          <w:color w:val="000000"/>
          <w:sz w:val="22"/>
        </w:rPr>
        <w:t>六、发布公告的媒体</w:t>
      </w:r>
    </w:p>
    <w:p>
      <w:pPr>
        <w:spacing w:after="120" w:line="360" w:lineRule="auto"/>
        <w:ind w:right="-512" w:firstLine="440"/>
        <w:rPr>
          <w:rFonts w:ascii="宋体"/>
          <w:color w:val="000000"/>
          <w:sz w:val="22"/>
        </w:rPr>
      </w:pPr>
      <w:r>
        <w:rPr>
          <w:rFonts w:hint="eastAsia" w:ascii="宋体"/>
          <w:color w:val="000000"/>
          <w:sz w:val="22"/>
        </w:rPr>
        <w:t>(</w:t>
      </w:r>
      <w:r>
        <w:rPr>
          <w:rFonts w:ascii="宋体"/>
          <w:color w:val="000000"/>
          <w:sz w:val="22"/>
        </w:rPr>
        <w:t>1)</w:t>
      </w:r>
      <w:r>
        <w:rPr>
          <w:rFonts w:hint="eastAsia" w:ascii="宋体"/>
          <w:color w:val="000000"/>
          <w:sz w:val="22"/>
        </w:rPr>
        <w:t>铜陵学院官网：</w:t>
      </w:r>
      <w:r>
        <w:fldChar w:fldCharType="begin"/>
      </w:r>
      <w:r>
        <w:instrText xml:space="preserve"> HYPERLINK "https://www.tlu.edu.cn/" </w:instrText>
      </w:r>
      <w:r>
        <w:fldChar w:fldCharType="separate"/>
      </w:r>
      <w:r>
        <w:rPr>
          <w:rStyle w:val="8"/>
          <w:rFonts w:ascii="宋体"/>
          <w:sz w:val="22"/>
        </w:rPr>
        <w:t>https://www.tlu.edu.cn/</w:t>
      </w:r>
      <w:r>
        <w:rPr>
          <w:rStyle w:val="8"/>
          <w:rFonts w:ascii="宋体"/>
          <w:sz w:val="22"/>
        </w:rPr>
        <w:fldChar w:fldCharType="end"/>
      </w:r>
      <w:r>
        <w:rPr>
          <w:rFonts w:hint="eastAsia" w:ascii="宋体"/>
          <w:color w:val="000000"/>
          <w:sz w:val="22"/>
        </w:rPr>
        <w:t>（仅作公示）</w:t>
      </w:r>
    </w:p>
    <w:p>
      <w:pPr>
        <w:spacing w:after="120" w:line="360" w:lineRule="auto"/>
        <w:ind w:right="-512" w:firstLine="440"/>
        <w:rPr>
          <w:rFonts w:ascii="宋体"/>
          <w:color w:val="000000"/>
          <w:sz w:val="22"/>
        </w:rPr>
      </w:pPr>
      <w:r>
        <w:rPr>
          <w:rFonts w:ascii="宋体"/>
          <w:color w:val="000000"/>
          <w:sz w:val="22"/>
        </w:rPr>
        <w:t>(2)</w:t>
      </w:r>
      <w:r>
        <w:rPr>
          <w:rFonts w:hint="eastAsia" w:ascii="宋体"/>
          <w:color w:val="000000"/>
          <w:sz w:val="22"/>
        </w:rPr>
        <w:t>安徽宝申工程项目管理咨询有限公司官网：</w:t>
      </w:r>
      <w:r>
        <w:fldChar w:fldCharType="begin"/>
      </w:r>
      <w:r>
        <w:instrText xml:space="preserve"> HYPERLINK "http://www.ahbaoshen.com/" </w:instrText>
      </w:r>
      <w:r>
        <w:fldChar w:fldCharType="separate"/>
      </w:r>
      <w:r>
        <w:rPr>
          <w:rStyle w:val="8"/>
          <w:rFonts w:ascii="宋体"/>
          <w:sz w:val="22"/>
        </w:rPr>
        <w:t>http://www.ahbaoshen.com/</w:t>
      </w:r>
      <w:r>
        <w:rPr>
          <w:rStyle w:val="8"/>
          <w:rFonts w:ascii="宋体"/>
          <w:sz w:val="22"/>
        </w:rPr>
        <w:fldChar w:fldCharType="end"/>
      </w:r>
      <w:r>
        <w:rPr>
          <w:rFonts w:hint="eastAsia" w:ascii="宋体"/>
          <w:color w:val="000000"/>
          <w:sz w:val="22"/>
        </w:rPr>
        <w:t>(可领附件)</w:t>
      </w:r>
    </w:p>
    <w:p>
      <w:pPr>
        <w:spacing w:after="120" w:line="360" w:lineRule="auto"/>
        <w:ind w:right="-512" w:firstLine="440"/>
        <w:rPr>
          <w:rFonts w:ascii="宋体"/>
          <w:color w:val="000000"/>
          <w:sz w:val="22"/>
        </w:rPr>
      </w:pPr>
      <w:r>
        <w:rPr>
          <w:rFonts w:ascii="宋体"/>
          <w:color w:val="000000"/>
          <w:sz w:val="22"/>
        </w:rPr>
        <w:t>(3)</w:t>
      </w:r>
      <w:r>
        <w:rPr>
          <w:rFonts w:hint="eastAsia" w:ascii="宋体"/>
          <w:color w:val="000000"/>
          <w:sz w:val="22"/>
        </w:rPr>
        <w:t>中国政府采购网：</w:t>
      </w:r>
      <w:r>
        <w:fldChar w:fldCharType="begin"/>
      </w:r>
      <w:r>
        <w:instrText xml:space="preserve"> HYPERLINK "http://www.ccgp.gov.cn/" </w:instrText>
      </w:r>
      <w:r>
        <w:fldChar w:fldCharType="separate"/>
      </w:r>
      <w:r>
        <w:rPr>
          <w:rStyle w:val="8"/>
          <w:rFonts w:ascii="宋体"/>
          <w:sz w:val="22"/>
        </w:rPr>
        <w:t>http://www.ccgp.gov.cn/</w:t>
      </w:r>
      <w:r>
        <w:rPr>
          <w:rStyle w:val="8"/>
          <w:rFonts w:ascii="宋体"/>
          <w:sz w:val="22"/>
        </w:rPr>
        <w:fldChar w:fldCharType="end"/>
      </w:r>
      <w:r>
        <w:rPr>
          <w:rFonts w:hint="eastAsia" w:ascii="宋体"/>
          <w:color w:val="000000"/>
          <w:sz w:val="22"/>
        </w:rPr>
        <w:t>（可领附件）</w:t>
      </w:r>
    </w:p>
    <w:p>
      <w:pPr>
        <w:widowControl/>
        <w:shd w:val="clear" w:color="000000" w:fill="FFFFFF"/>
        <w:spacing w:line="360" w:lineRule="auto"/>
        <w:ind w:firstLine="442"/>
        <w:rPr>
          <w:rFonts w:ascii="宋体"/>
          <w:b/>
          <w:color w:val="000000"/>
          <w:sz w:val="22"/>
        </w:rPr>
      </w:pPr>
    </w:p>
    <w:p>
      <w:pPr>
        <w:widowControl/>
        <w:shd w:val="clear" w:color="000000" w:fill="FFFFFF"/>
        <w:spacing w:line="360" w:lineRule="auto"/>
        <w:ind w:firstLine="442"/>
        <w:rPr>
          <w:sz w:val="22"/>
        </w:rPr>
      </w:pPr>
      <w:r>
        <w:rPr>
          <w:rFonts w:hint="eastAsia" w:ascii="宋体"/>
          <w:b/>
          <w:color w:val="000000"/>
          <w:sz w:val="22"/>
        </w:rPr>
        <w:t>七、联系方式</w:t>
      </w:r>
    </w:p>
    <w:tbl>
      <w:tblPr>
        <w:tblStyle w:val="6"/>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146"/>
        <w:gridCol w:w="1390"/>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12" w:space="0"/>
              <w:left w:val="single" w:color="auto" w:sz="12" w:space="0"/>
              <w:bottom w:val="dashSmallGap" w:color="auto" w:sz="4" w:space="0"/>
              <w:right w:val="dashSmallGap" w:color="auto" w:sz="4" w:space="0"/>
            </w:tcBorders>
            <w:vAlign w:val="center"/>
          </w:tcPr>
          <w:p>
            <w:pPr>
              <w:widowControl/>
              <w:snapToGrid w:val="0"/>
              <w:spacing w:line="360" w:lineRule="auto"/>
              <w:jc w:val="center"/>
              <w:rPr>
                <w:rFonts w:ascii="宋体"/>
                <w:color w:val="000000"/>
                <w:sz w:val="20"/>
                <w:szCs w:val="21"/>
              </w:rPr>
            </w:pPr>
            <w:r>
              <w:rPr>
                <w:rFonts w:hint="eastAsia" w:ascii="宋体"/>
                <w:color w:val="000000"/>
                <w:sz w:val="20"/>
                <w:szCs w:val="21"/>
              </w:rPr>
              <w:t>采购人</w:t>
            </w:r>
          </w:p>
        </w:tc>
        <w:tc>
          <w:tcPr>
            <w:tcW w:w="3146" w:type="dxa"/>
            <w:tcBorders>
              <w:top w:val="single" w:color="auto" w:sz="12" w:space="0"/>
              <w:left w:val="dashSmallGap" w:color="auto" w:sz="4" w:space="0"/>
              <w:bottom w:val="dashSmallGap" w:color="auto" w:sz="4" w:space="0"/>
              <w:right w:val="single" w:color="auto" w:sz="12" w:space="0"/>
            </w:tcBorders>
            <w:vAlign w:val="center"/>
          </w:tcPr>
          <w:p>
            <w:pPr>
              <w:widowControl/>
              <w:snapToGrid w:val="0"/>
              <w:spacing w:line="360" w:lineRule="auto"/>
              <w:jc w:val="center"/>
              <w:rPr>
                <w:rFonts w:ascii="宋体"/>
                <w:color w:val="000000"/>
                <w:sz w:val="20"/>
                <w:szCs w:val="21"/>
              </w:rPr>
            </w:pPr>
            <w:r>
              <w:rPr>
                <w:rFonts w:hint="eastAsia" w:ascii="宋体"/>
                <w:color w:val="000000"/>
                <w:sz w:val="20"/>
                <w:szCs w:val="21"/>
              </w:rPr>
              <w:t>铜陵学院</w:t>
            </w:r>
          </w:p>
        </w:tc>
        <w:tc>
          <w:tcPr>
            <w:tcW w:w="1390" w:type="dxa"/>
            <w:tcBorders>
              <w:top w:val="single" w:color="auto" w:sz="12" w:space="0"/>
              <w:left w:val="single" w:color="auto" w:sz="12" w:space="0"/>
              <w:bottom w:val="dashSmallGap" w:color="auto" w:sz="4" w:space="0"/>
              <w:right w:val="dashSmallGap" w:color="auto" w:sz="4" w:space="0"/>
            </w:tcBorders>
            <w:vAlign w:val="center"/>
          </w:tcPr>
          <w:p>
            <w:pPr>
              <w:widowControl/>
              <w:snapToGrid w:val="0"/>
              <w:spacing w:line="360" w:lineRule="auto"/>
              <w:jc w:val="center"/>
              <w:rPr>
                <w:rFonts w:ascii="宋体"/>
                <w:color w:val="000000"/>
                <w:sz w:val="20"/>
                <w:szCs w:val="21"/>
              </w:rPr>
            </w:pPr>
            <w:r>
              <w:rPr>
                <w:rFonts w:hint="eastAsia" w:ascii="宋体"/>
                <w:color w:val="000000"/>
                <w:sz w:val="20"/>
                <w:szCs w:val="21"/>
              </w:rPr>
              <w:t>采购代理人</w:t>
            </w:r>
          </w:p>
        </w:tc>
        <w:tc>
          <w:tcPr>
            <w:tcW w:w="3827" w:type="dxa"/>
            <w:tcBorders>
              <w:top w:val="single" w:color="auto" w:sz="12" w:space="0"/>
              <w:left w:val="dashSmallGap" w:color="auto" w:sz="4" w:space="0"/>
              <w:bottom w:val="dashSmallGap" w:color="auto" w:sz="4" w:space="0"/>
              <w:right w:val="single" w:color="auto" w:sz="12" w:space="0"/>
            </w:tcBorders>
            <w:vAlign w:val="center"/>
          </w:tcPr>
          <w:p>
            <w:pPr>
              <w:widowControl/>
              <w:snapToGrid w:val="0"/>
              <w:spacing w:line="360" w:lineRule="auto"/>
              <w:jc w:val="center"/>
              <w:rPr>
                <w:rFonts w:ascii="宋体"/>
                <w:color w:val="000000"/>
                <w:sz w:val="20"/>
                <w:szCs w:val="21"/>
              </w:rPr>
            </w:pPr>
            <w:r>
              <w:rPr>
                <w:rFonts w:hint="eastAsia" w:ascii="宋体"/>
                <w:color w:val="000000"/>
                <w:sz w:val="20"/>
                <w:szCs w:val="21"/>
              </w:rPr>
              <w:t>安徽宝申工程项目管理咨询有限公司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dashSmallGap" w:color="auto" w:sz="4" w:space="0"/>
              <w:left w:val="single" w:color="auto" w:sz="12" w:space="0"/>
              <w:bottom w:val="dashSmallGap" w:color="auto" w:sz="4" w:space="0"/>
              <w:right w:val="dashSmallGap" w:color="auto" w:sz="4" w:space="0"/>
            </w:tcBorders>
            <w:vAlign w:val="center"/>
          </w:tcPr>
          <w:p>
            <w:pPr>
              <w:widowControl/>
              <w:snapToGrid w:val="0"/>
              <w:spacing w:line="360" w:lineRule="auto"/>
              <w:jc w:val="center"/>
              <w:rPr>
                <w:rFonts w:ascii="宋体"/>
                <w:color w:val="000000"/>
                <w:sz w:val="20"/>
                <w:szCs w:val="21"/>
              </w:rPr>
            </w:pPr>
            <w:r>
              <w:rPr>
                <w:rFonts w:hint="eastAsia" w:ascii="宋体"/>
                <w:color w:val="000000"/>
                <w:sz w:val="20"/>
                <w:szCs w:val="21"/>
              </w:rPr>
              <w:t>地址</w:t>
            </w:r>
          </w:p>
        </w:tc>
        <w:tc>
          <w:tcPr>
            <w:tcW w:w="3146" w:type="dxa"/>
            <w:tcBorders>
              <w:top w:val="dashSmallGap" w:color="auto" w:sz="4" w:space="0"/>
              <w:left w:val="dashSmallGap" w:color="auto" w:sz="4" w:space="0"/>
              <w:bottom w:val="dashSmallGap" w:color="auto" w:sz="4" w:space="0"/>
              <w:right w:val="single" w:color="auto" w:sz="12" w:space="0"/>
            </w:tcBorders>
            <w:vAlign w:val="center"/>
          </w:tcPr>
          <w:p>
            <w:pPr>
              <w:widowControl/>
              <w:snapToGrid w:val="0"/>
              <w:spacing w:line="360" w:lineRule="auto"/>
              <w:jc w:val="center"/>
              <w:rPr>
                <w:rFonts w:ascii="宋体"/>
                <w:color w:val="000000"/>
                <w:sz w:val="20"/>
                <w:szCs w:val="21"/>
              </w:rPr>
            </w:pPr>
            <w:r>
              <w:rPr>
                <w:rFonts w:hint="eastAsia" w:ascii="宋体"/>
                <w:color w:val="000000"/>
                <w:sz w:val="20"/>
                <w:szCs w:val="21"/>
              </w:rPr>
              <w:t>安徽省铜陵市铜陵学院翠湖校区</w:t>
            </w:r>
          </w:p>
        </w:tc>
        <w:tc>
          <w:tcPr>
            <w:tcW w:w="1390" w:type="dxa"/>
            <w:tcBorders>
              <w:top w:val="dashSmallGap" w:color="auto" w:sz="4" w:space="0"/>
              <w:left w:val="single" w:color="auto" w:sz="12" w:space="0"/>
              <w:bottom w:val="dashSmallGap" w:color="auto" w:sz="4" w:space="0"/>
              <w:right w:val="dashSmallGap" w:color="auto" w:sz="4" w:space="0"/>
            </w:tcBorders>
            <w:vAlign w:val="center"/>
          </w:tcPr>
          <w:p>
            <w:pPr>
              <w:widowControl/>
              <w:snapToGrid w:val="0"/>
              <w:spacing w:line="360" w:lineRule="auto"/>
              <w:jc w:val="center"/>
              <w:rPr>
                <w:rFonts w:ascii="宋体"/>
                <w:color w:val="000000"/>
                <w:sz w:val="20"/>
                <w:szCs w:val="21"/>
              </w:rPr>
            </w:pPr>
            <w:r>
              <w:rPr>
                <w:rFonts w:hint="eastAsia" w:ascii="宋体"/>
                <w:color w:val="000000"/>
                <w:sz w:val="20"/>
                <w:szCs w:val="21"/>
              </w:rPr>
              <w:t>地址</w:t>
            </w:r>
          </w:p>
        </w:tc>
        <w:tc>
          <w:tcPr>
            <w:tcW w:w="3827" w:type="dxa"/>
            <w:tcBorders>
              <w:top w:val="dashSmallGap" w:color="auto" w:sz="4" w:space="0"/>
              <w:left w:val="dashSmallGap" w:color="auto" w:sz="4" w:space="0"/>
              <w:bottom w:val="dashSmallGap" w:color="auto" w:sz="4" w:space="0"/>
              <w:right w:val="single" w:color="auto" w:sz="12" w:space="0"/>
            </w:tcBorders>
            <w:vAlign w:val="center"/>
          </w:tcPr>
          <w:p>
            <w:pPr>
              <w:widowControl/>
              <w:snapToGrid w:val="0"/>
              <w:spacing w:line="360" w:lineRule="auto"/>
              <w:jc w:val="left"/>
              <w:rPr>
                <w:rFonts w:ascii="宋体"/>
                <w:color w:val="000000"/>
                <w:sz w:val="20"/>
                <w:szCs w:val="21"/>
              </w:rPr>
            </w:pPr>
            <w:r>
              <w:rPr>
                <w:rFonts w:hint="eastAsia" w:ascii="宋体"/>
                <w:color w:val="000000"/>
                <w:sz w:val="20"/>
                <w:szCs w:val="21"/>
              </w:rPr>
              <w:t>①安徽省铜陵市铜官区长江西路锦湖大厦三楼②安徽省铜陵市铜官区北京西路北斗星城B1金融大厦十二楼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dashSmallGap" w:color="auto" w:sz="4" w:space="0"/>
              <w:left w:val="single" w:color="auto" w:sz="12" w:space="0"/>
              <w:bottom w:val="dashSmallGap" w:color="auto" w:sz="4" w:space="0"/>
              <w:right w:val="dashSmallGap" w:color="auto" w:sz="4" w:space="0"/>
            </w:tcBorders>
            <w:vAlign w:val="center"/>
          </w:tcPr>
          <w:p>
            <w:pPr>
              <w:widowControl/>
              <w:snapToGrid w:val="0"/>
              <w:spacing w:line="360" w:lineRule="auto"/>
              <w:jc w:val="center"/>
              <w:rPr>
                <w:rFonts w:ascii="宋体"/>
                <w:color w:val="000000"/>
                <w:sz w:val="20"/>
                <w:szCs w:val="21"/>
              </w:rPr>
            </w:pPr>
            <w:r>
              <w:rPr>
                <w:rFonts w:hint="eastAsia" w:ascii="宋体"/>
                <w:color w:val="000000"/>
                <w:sz w:val="20"/>
                <w:szCs w:val="21"/>
              </w:rPr>
              <w:t>采购负责人</w:t>
            </w:r>
          </w:p>
        </w:tc>
        <w:tc>
          <w:tcPr>
            <w:tcW w:w="3146" w:type="dxa"/>
            <w:tcBorders>
              <w:top w:val="dashSmallGap" w:color="auto" w:sz="4" w:space="0"/>
              <w:left w:val="dashSmallGap" w:color="auto" w:sz="4" w:space="0"/>
              <w:bottom w:val="dashSmallGap" w:color="auto" w:sz="4" w:space="0"/>
              <w:right w:val="single" w:color="auto" w:sz="12" w:space="0"/>
            </w:tcBorders>
            <w:vAlign w:val="center"/>
          </w:tcPr>
          <w:p>
            <w:pPr>
              <w:widowControl/>
              <w:snapToGrid w:val="0"/>
              <w:spacing w:line="360" w:lineRule="auto"/>
              <w:jc w:val="center"/>
              <w:rPr>
                <w:rFonts w:ascii="宋体"/>
                <w:color w:val="000000"/>
                <w:sz w:val="20"/>
                <w:szCs w:val="21"/>
              </w:rPr>
            </w:pPr>
            <w:r>
              <w:rPr>
                <w:rFonts w:hint="eastAsia" w:ascii="宋体"/>
                <w:color w:val="000000"/>
                <w:sz w:val="20"/>
                <w:szCs w:val="21"/>
              </w:rPr>
              <w:t>徐老师</w:t>
            </w:r>
          </w:p>
        </w:tc>
        <w:tc>
          <w:tcPr>
            <w:tcW w:w="1390" w:type="dxa"/>
            <w:tcBorders>
              <w:top w:val="dashSmallGap" w:color="auto" w:sz="4" w:space="0"/>
              <w:left w:val="single" w:color="auto" w:sz="12" w:space="0"/>
              <w:bottom w:val="dashSmallGap" w:color="auto" w:sz="4" w:space="0"/>
              <w:right w:val="dashSmallGap" w:color="auto" w:sz="4" w:space="0"/>
            </w:tcBorders>
            <w:vAlign w:val="center"/>
          </w:tcPr>
          <w:p>
            <w:pPr>
              <w:widowControl/>
              <w:snapToGrid w:val="0"/>
              <w:spacing w:line="360" w:lineRule="auto"/>
              <w:jc w:val="center"/>
              <w:rPr>
                <w:rFonts w:ascii="宋体"/>
                <w:color w:val="000000"/>
                <w:sz w:val="20"/>
                <w:szCs w:val="21"/>
              </w:rPr>
            </w:pPr>
            <w:r>
              <w:rPr>
                <w:rFonts w:hint="eastAsia" w:ascii="宋体"/>
                <w:color w:val="000000"/>
                <w:sz w:val="20"/>
                <w:szCs w:val="21"/>
              </w:rPr>
              <w:t>采购负责人</w:t>
            </w:r>
          </w:p>
        </w:tc>
        <w:tc>
          <w:tcPr>
            <w:tcW w:w="3827" w:type="dxa"/>
            <w:tcBorders>
              <w:top w:val="dashSmallGap" w:color="auto" w:sz="4" w:space="0"/>
              <w:left w:val="dashSmallGap" w:color="auto" w:sz="4" w:space="0"/>
              <w:bottom w:val="dashSmallGap" w:color="auto" w:sz="4" w:space="0"/>
              <w:right w:val="single" w:color="auto" w:sz="12" w:space="0"/>
            </w:tcBorders>
            <w:vAlign w:val="center"/>
          </w:tcPr>
          <w:p>
            <w:pPr>
              <w:widowControl/>
              <w:snapToGrid w:val="0"/>
              <w:spacing w:line="360" w:lineRule="auto"/>
              <w:jc w:val="center"/>
              <w:rPr>
                <w:rFonts w:ascii="宋体"/>
                <w:color w:val="000000"/>
                <w:sz w:val="20"/>
                <w:szCs w:val="21"/>
              </w:rPr>
            </w:pPr>
            <w:r>
              <w:rPr>
                <w:rFonts w:hint="eastAsia" w:ascii="宋体"/>
                <w:color w:val="000000"/>
                <w:sz w:val="20"/>
                <w:szCs w:val="21"/>
              </w:rPr>
              <w:t>牛主任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dashSmallGap" w:color="auto" w:sz="4" w:space="0"/>
              <w:left w:val="single" w:color="auto" w:sz="12" w:space="0"/>
              <w:bottom w:val="dashSmallGap" w:color="auto" w:sz="4" w:space="0"/>
              <w:right w:val="dashSmallGap" w:color="auto" w:sz="4" w:space="0"/>
            </w:tcBorders>
            <w:vAlign w:val="center"/>
          </w:tcPr>
          <w:p>
            <w:pPr>
              <w:widowControl/>
              <w:snapToGrid w:val="0"/>
              <w:spacing w:line="360" w:lineRule="auto"/>
              <w:jc w:val="center"/>
              <w:rPr>
                <w:rFonts w:ascii="宋体"/>
                <w:color w:val="000000"/>
                <w:sz w:val="20"/>
                <w:szCs w:val="21"/>
              </w:rPr>
            </w:pPr>
            <w:r>
              <w:rPr>
                <w:rFonts w:hint="eastAsia" w:ascii="宋体"/>
                <w:color w:val="000000"/>
                <w:sz w:val="20"/>
                <w:szCs w:val="21"/>
              </w:rPr>
              <w:t>联系电话</w:t>
            </w:r>
          </w:p>
        </w:tc>
        <w:tc>
          <w:tcPr>
            <w:tcW w:w="3146" w:type="dxa"/>
            <w:tcBorders>
              <w:top w:val="dashSmallGap" w:color="auto" w:sz="4" w:space="0"/>
              <w:left w:val="dashSmallGap" w:color="auto" w:sz="4" w:space="0"/>
              <w:bottom w:val="dashSmallGap" w:color="auto" w:sz="4" w:space="0"/>
              <w:right w:val="single" w:color="auto" w:sz="12" w:space="0"/>
            </w:tcBorders>
            <w:vAlign w:val="center"/>
          </w:tcPr>
          <w:p>
            <w:pPr>
              <w:widowControl/>
              <w:snapToGrid w:val="0"/>
              <w:spacing w:line="360" w:lineRule="auto"/>
              <w:jc w:val="center"/>
              <w:rPr>
                <w:rFonts w:ascii="宋体"/>
                <w:color w:val="000000"/>
                <w:sz w:val="20"/>
                <w:szCs w:val="21"/>
              </w:rPr>
            </w:pPr>
            <w:r>
              <w:rPr>
                <w:rFonts w:ascii="宋体"/>
                <w:color w:val="000000"/>
                <w:sz w:val="20"/>
                <w:szCs w:val="21"/>
              </w:rPr>
              <w:t>0562-5883540</w:t>
            </w:r>
          </w:p>
        </w:tc>
        <w:tc>
          <w:tcPr>
            <w:tcW w:w="1390" w:type="dxa"/>
            <w:tcBorders>
              <w:top w:val="dashSmallGap" w:color="auto" w:sz="4" w:space="0"/>
              <w:left w:val="single" w:color="auto" w:sz="12" w:space="0"/>
              <w:bottom w:val="dashSmallGap" w:color="auto" w:sz="4" w:space="0"/>
              <w:right w:val="dashSmallGap" w:color="auto" w:sz="4" w:space="0"/>
            </w:tcBorders>
            <w:vAlign w:val="center"/>
          </w:tcPr>
          <w:p>
            <w:pPr>
              <w:widowControl/>
              <w:snapToGrid w:val="0"/>
              <w:spacing w:line="360" w:lineRule="auto"/>
              <w:jc w:val="center"/>
              <w:rPr>
                <w:rFonts w:ascii="宋体"/>
                <w:color w:val="000000"/>
                <w:sz w:val="20"/>
                <w:szCs w:val="21"/>
              </w:rPr>
            </w:pPr>
            <w:r>
              <w:rPr>
                <w:rFonts w:hint="eastAsia" w:ascii="宋体"/>
                <w:color w:val="000000"/>
                <w:sz w:val="20"/>
                <w:szCs w:val="21"/>
              </w:rPr>
              <w:t>联系电话</w:t>
            </w:r>
          </w:p>
        </w:tc>
        <w:tc>
          <w:tcPr>
            <w:tcW w:w="3827" w:type="dxa"/>
            <w:tcBorders>
              <w:top w:val="dashSmallGap" w:color="auto" w:sz="4" w:space="0"/>
              <w:left w:val="dashSmallGap" w:color="auto" w:sz="4" w:space="0"/>
              <w:bottom w:val="dashSmallGap" w:color="auto" w:sz="4" w:space="0"/>
              <w:right w:val="single" w:color="auto" w:sz="12" w:space="0"/>
            </w:tcBorders>
            <w:vAlign w:val="center"/>
          </w:tcPr>
          <w:p>
            <w:pPr>
              <w:widowControl/>
              <w:snapToGrid w:val="0"/>
              <w:spacing w:line="360" w:lineRule="auto"/>
              <w:jc w:val="center"/>
              <w:rPr>
                <w:rFonts w:ascii="宋体"/>
                <w:color w:val="000000"/>
                <w:sz w:val="20"/>
                <w:szCs w:val="21"/>
              </w:rPr>
            </w:pPr>
            <w:r>
              <w:rPr>
                <w:rFonts w:hint="eastAsia" w:ascii="宋体"/>
                <w:color w:val="000000"/>
                <w:sz w:val="20"/>
                <w:szCs w:val="21"/>
              </w:rPr>
              <w:t>139-6520-7552；0562-5850718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dashSmallGap" w:color="auto" w:sz="4" w:space="0"/>
              <w:left w:val="single" w:color="auto" w:sz="12" w:space="0"/>
              <w:bottom w:val="dashSmallGap" w:color="auto" w:sz="4" w:space="0"/>
              <w:right w:val="dashSmallGap" w:color="auto" w:sz="4" w:space="0"/>
            </w:tcBorders>
            <w:vAlign w:val="center"/>
          </w:tcPr>
          <w:p>
            <w:pPr>
              <w:widowControl/>
              <w:snapToGrid w:val="0"/>
              <w:spacing w:line="360" w:lineRule="auto"/>
              <w:jc w:val="center"/>
              <w:rPr>
                <w:rFonts w:ascii="宋体"/>
                <w:color w:val="000000"/>
                <w:sz w:val="20"/>
                <w:szCs w:val="21"/>
              </w:rPr>
            </w:pPr>
            <w:r>
              <w:rPr>
                <w:rFonts w:hint="eastAsia" w:ascii="宋体"/>
                <w:color w:val="000000"/>
                <w:sz w:val="20"/>
                <w:szCs w:val="21"/>
              </w:rPr>
              <w:t>项目联系人</w:t>
            </w:r>
          </w:p>
        </w:tc>
        <w:tc>
          <w:tcPr>
            <w:tcW w:w="3146" w:type="dxa"/>
            <w:tcBorders>
              <w:top w:val="dashSmallGap" w:color="auto" w:sz="4" w:space="0"/>
              <w:left w:val="dashSmallGap" w:color="auto" w:sz="4" w:space="0"/>
              <w:bottom w:val="dashSmallGap" w:color="auto" w:sz="4" w:space="0"/>
              <w:right w:val="single" w:color="auto" w:sz="12" w:space="0"/>
            </w:tcBorders>
            <w:vAlign w:val="center"/>
          </w:tcPr>
          <w:p>
            <w:pPr>
              <w:widowControl/>
              <w:snapToGrid w:val="0"/>
              <w:spacing w:line="360" w:lineRule="auto"/>
              <w:jc w:val="center"/>
              <w:rPr>
                <w:rFonts w:ascii="宋体"/>
                <w:color w:val="000000"/>
                <w:sz w:val="20"/>
                <w:szCs w:val="21"/>
              </w:rPr>
            </w:pPr>
            <w:r>
              <w:rPr>
                <w:rFonts w:hint="eastAsia" w:ascii="宋体"/>
                <w:color w:val="000000"/>
                <w:sz w:val="20"/>
                <w:szCs w:val="21"/>
              </w:rPr>
              <w:t>吴老师</w:t>
            </w:r>
          </w:p>
        </w:tc>
        <w:tc>
          <w:tcPr>
            <w:tcW w:w="1390" w:type="dxa"/>
            <w:tcBorders>
              <w:top w:val="dashSmallGap" w:color="auto" w:sz="4" w:space="0"/>
              <w:left w:val="single" w:color="auto" w:sz="12" w:space="0"/>
              <w:bottom w:val="dashSmallGap" w:color="auto" w:sz="4" w:space="0"/>
              <w:right w:val="dashSmallGap" w:color="auto" w:sz="4" w:space="0"/>
            </w:tcBorders>
            <w:vAlign w:val="center"/>
          </w:tcPr>
          <w:p>
            <w:pPr>
              <w:widowControl/>
              <w:snapToGrid w:val="0"/>
              <w:spacing w:line="360" w:lineRule="auto"/>
              <w:jc w:val="center"/>
              <w:rPr>
                <w:rFonts w:ascii="宋体"/>
                <w:color w:val="000000"/>
                <w:sz w:val="20"/>
                <w:szCs w:val="21"/>
              </w:rPr>
            </w:pPr>
            <w:r>
              <w:rPr>
                <w:rFonts w:hint="eastAsia" w:ascii="宋体"/>
                <w:color w:val="000000"/>
                <w:sz w:val="20"/>
                <w:szCs w:val="21"/>
              </w:rPr>
              <w:t>项目联系人</w:t>
            </w:r>
          </w:p>
        </w:tc>
        <w:tc>
          <w:tcPr>
            <w:tcW w:w="3827" w:type="dxa"/>
            <w:tcBorders>
              <w:top w:val="dashSmallGap" w:color="auto" w:sz="4" w:space="0"/>
              <w:left w:val="dashSmallGap" w:color="auto" w:sz="4" w:space="0"/>
              <w:bottom w:val="dashSmallGap" w:color="auto" w:sz="4" w:space="0"/>
              <w:right w:val="single" w:color="auto" w:sz="12" w:space="0"/>
            </w:tcBorders>
            <w:vAlign w:val="center"/>
          </w:tcPr>
          <w:p>
            <w:pPr>
              <w:widowControl/>
              <w:snapToGrid w:val="0"/>
              <w:spacing w:line="360" w:lineRule="auto"/>
              <w:jc w:val="center"/>
              <w:rPr>
                <w:rFonts w:ascii="宋体"/>
                <w:color w:val="000000"/>
                <w:sz w:val="20"/>
                <w:szCs w:val="21"/>
              </w:rPr>
            </w:pPr>
            <w:r>
              <w:rPr>
                <w:rFonts w:hint="eastAsia" w:ascii="宋体"/>
                <w:color w:val="000000"/>
                <w:sz w:val="20"/>
                <w:szCs w:val="21"/>
              </w:rPr>
              <w:t>曹工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dashSmallGap" w:color="auto" w:sz="4" w:space="0"/>
              <w:left w:val="single" w:color="auto" w:sz="12" w:space="0"/>
              <w:bottom w:val="single" w:color="auto" w:sz="12" w:space="0"/>
              <w:right w:val="dashSmallGap" w:color="auto" w:sz="4" w:space="0"/>
            </w:tcBorders>
            <w:vAlign w:val="center"/>
          </w:tcPr>
          <w:p>
            <w:pPr>
              <w:widowControl/>
              <w:snapToGrid w:val="0"/>
              <w:spacing w:line="360" w:lineRule="auto"/>
              <w:jc w:val="center"/>
              <w:rPr>
                <w:rFonts w:ascii="宋体"/>
                <w:color w:val="000000"/>
                <w:sz w:val="20"/>
                <w:szCs w:val="21"/>
              </w:rPr>
            </w:pPr>
            <w:r>
              <w:rPr>
                <w:rFonts w:hint="eastAsia" w:ascii="宋体"/>
                <w:color w:val="000000"/>
                <w:sz w:val="20"/>
                <w:szCs w:val="21"/>
              </w:rPr>
              <w:t>联系电话</w:t>
            </w:r>
          </w:p>
        </w:tc>
        <w:tc>
          <w:tcPr>
            <w:tcW w:w="3146" w:type="dxa"/>
            <w:tcBorders>
              <w:top w:val="dashSmallGap" w:color="auto" w:sz="4" w:space="0"/>
              <w:left w:val="dashSmallGap" w:color="auto" w:sz="4" w:space="0"/>
              <w:bottom w:val="single" w:color="auto" w:sz="12" w:space="0"/>
              <w:right w:val="single" w:color="auto" w:sz="12" w:space="0"/>
            </w:tcBorders>
            <w:vAlign w:val="center"/>
          </w:tcPr>
          <w:p>
            <w:pPr>
              <w:widowControl/>
              <w:snapToGrid w:val="0"/>
              <w:spacing w:line="360" w:lineRule="auto"/>
              <w:jc w:val="center"/>
              <w:rPr>
                <w:rFonts w:ascii="宋体"/>
                <w:color w:val="000000"/>
                <w:sz w:val="20"/>
                <w:szCs w:val="21"/>
              </w:rPr>
            </w:pPr>
            <w:r>
              <w:rPr>
                <w:rFonts w:hint="eastAsia" w:ascii="宋体"/>
                <w:color w:val="000000"/>
                <w:sz w:val="20"/>
                <w:szCs w:val="21"/>
              </w:rPr>
              <w:t>0562-5881023</w:t>
            </w:r>
          </w:p>
        </w:tc>
        <w:tc>
          <w:tcPr>
            <w:tcW w:w="1390" w:type="dxa"/>
            <w:tcBorders>
              <w:top w:val="dashSmallGap" w:color="auto" w:sz="4" w:space="0"/>
              <w:left w:val="single" w:color="auto" w:sz="12" w:space="0"/>
              <w:bottom w:val="single" w:color="auto" w:sz="12" w:space="0"/>
              <w:right w:val="dashSmallGap" w:color="auto" w:sz="4" w:space="0"/>
            </w:tcBorders>
            <w:vAlign w:val="center"/>
          </w:tcPr>
          <w:p>
            <w:pPr>
              <w:widowControl/>
              <w:snapToGrid w:val="0"/>
              <w:spacing w:line="360" w:lineRule="auto"/>
              <w:jc w:val="center"/>
              <w:rPr>
                <w:rFonts w:ascii="宋体"/>
                <w:color w:val="000000"/>
                <w:sz w:val="20"/>
                <w:szCs w:val="21"/>
              </w:rPr>
            </w:pPr>
            <w:r>
              <w:rPr>
                <w:rFonts w:hint="eastAsia" w:ascii="宋体"/>
                <w:color w:val="000000"/>
                <w:sz w:val="20"/>
                <w:szCs w:val="21"/>
              </w:rPr>
              <w:t>联系电话</w:t>
            </w:r>
          </w:p>
        </w:tc>
        <w:tc>
          <w:tcPr>
            <w:tcW w:w="3827" w:type="dxa"/>
            <w:tcBorders>
              <w:top w:val="dashSmallGap" w:color="auto" w:sz="4" w:space="0"/>
              <w:left w:val="dashSmallGap" w:color="auto" w:sz="4" w:space="0"/>
              <w:bottom w:val="single" w:color="auto" w:sz="12" w:space="0"/>
              <w:right w:val="single" w:color="auto" w:sz="12" w:space="0"/>
            </w:tcBorders>
            <w:vAlign w:val="center"/>
          </w:tcPr>
          <w:p>
            <w:pPr>
              <w:widowControl/>
              <w:snapToGrid w:val="0"/>
              <w:spacing w:line="360" w:lineRule="auto"/>
              <w:jc w:val="center"/>
              <w:rPr>
                <w:rFonts w:ascii="宋体"/>
                <w:color w:val="000000"/>
                <w:sz w:val="20"/>
                <w:szCs w:val="21"/>
              </w:rPr>
            </w:pPr>
            <w:r>
              <w:rPr>
                <w:rFonts w:hint="eastAsia" w:ascii="宋体"/>
                <w:color w:val="000000"/>
                <w:sz w:val="20"/>
                <w:szCs w:val="21"/>
              </w:rPr>
              <w:t>187-5625-7122</w:t>
            </w:r>
          </w:p>
        </w:tc>
      </w:tr>
    </w:tbl>
    <w:p>
      <w:pPr>
        <w:widowControl/>
        <w:shd w:val="clear" w:color="000000" w:fill="FFFFFF"/>
        <w:spacing w:line="360" w:lineRule="auto"/>
        <w:ind w:firstLine="442"/>
        <w:rPr>
          <w:rFonts w:ascii="宋体"/>
          <w:b/>
          <w:color w:val="000000"/>
          <w:sz w:val="22"/>
        </w:rPr>
      </w:pPr>
    </w:p>
    <w:p>
      <w:pPr>
        <w:widowControl/>
        <w:shd w:val="clear" w:color="000000" w:fill="FFFFFF"/>
        <w:spacing w:line="360" w:lineRule="auto"/>
        <w:ind w:firstLine="442"/>
        <w:rPr>
          <w:rFonts w:ascii="宋体"/>
          <w:b/>
          <w:color w:val="000000"/>
          <w:sz w:val="22"/>
        </w:rPr>
      </w:pPr>
      <w:r>
        <w:rPr>
          <w:rFonts w:hint="eastAsia" w:ascii="宋体"/>
          <w:b/>
          <w:color w:val="000000"/>
          <w:sz w:val="22"/>
        </w:rPr>
        <w:t>八、磋商保证金缴纳账户</w:t>
      </w:r>
    </w:p>
    <w:tbl>
      <w:tblPr>
        <w:tblStyle w:val="5"/>
        <w:tblW w:w="0" w:type="auto"/>
        <w:tblInd w:w="0" w:type="dxa"/>
        <w:tblLayout w:type="fixed"/>
        <w:tblCellMar>
          <w:top w:w="0" w:type="dxa"/>
          <w:left w:w="0" w:type="dxa"/>
          <w:bottom w:w="0" w:type="dxa"/>
          <w:right w:w="0" w:type="dxa"/>
        </w:tblCellMar>
      </w:tblPr>
      <w:tblGrid>
        <w:gridCol w:w="2342"/>
        <w:gridCol w:w="5763"/>
      </w:tblGrid>
      <w:tr>
        <w:tblPrEx>
          <w:tblCellMar>
            <w:top w:w="0" w:type="dxa"/>
            <w:left w:w="0" w:type="dxa"/>
            <w:bottom w:w="0" w:type="dxa"/>
            <w:right w:w="0" w:type="dxa"/>
          </w:tblCellMar>
        </w:tblPrEx>
        <w:trPr>
          <w:trHeight w:val="606" w:hRule="atLeast"/>
        </w:trPr>
        <w:tc>
          <w:tcPr>
            <w:tcW w:w="2342"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left"/>
              <w:rPr>
                <w:rFonts w:ascii="仿宋" w:hAnsi="仿宋" w:eastAsia="仿宋"/>
                <w:szCs w:val="21"/>
              </w:rPr>
            </w:pPr>
            <w:r>
              <w:rPr>
                <w:rFonts w:hint="eastAsia" w:ascii="仿宋" w:hAnsi="仿宋" w:eastAsia="仿宋"/>
                <w:szCs w:val="21"/>
              </w:rPr>
              <w:t>户</w:t>
            </w:r>
            <w:r>
              <w:rPr>
                <w:rFonts w:ascii="仿宋" w:hAnsi="仿宋" w:eastAsia="仿宋"/>
                <w:szCs w:val="21"/>
              </w:rPr>
              <w:t xml:space="preserve"> </w:t>
            </w:r>
            <w:r>
              <w:rPr>
                <w:rFonts w:hint="eastAsia" w:ascii="仿宋" w:hAnsi="仿宋" w:eastAsia="仿宋"/>
                <w:szCs w:val="21"/>
              </w:rPr>
              <w:t>名</w:t>
            </w:r>
          </w:p>
        </w:tc>
        <w:tc>
          <w:tcPr>
            <w:tcW w:w="5763"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left"/>
              <w:rPr>
                <w:rFonts w:ascii="仿宋" w:hAnsi="仿宋" w:eastAsia="仿宋"/>
                <w:szCs w:val="21"/>
              </w:rPr>
            </w:pPr>
            <w:r>
              <w:rPr>
                <w:rFonts w:hint="eastAsia" w:ascii="仿宋" w:hAnsi="仿宋" w:eastAsia="仿宋"/>
                <w:szCs w:val="21"/>
              </w:rPr>
              <w:t>安徽宝申工程项目管理咨询有限公司</w:t>
            </w:r>
          </w:p>
        </w:tc>
      </w:tr>
      <w:tr>
        <w:tblPrEx>
          <w:tblCellMar>
            <w:top w:w="0" w:type="dxa"/>
            <w:left w:w="0" w:type="dxa"/>
            <w:bottom w:w="0" w:type="dxa"/>
            <w:right w:w="0" w:type="dxa"/>
          </w:tblCellMar>
        </w:tblPrEx>
        <w:trPr>
          <w:trHeight w:val="533" w:hRule="atLeast"/>
        </w:trPr>
        <w:tc>
          <w:tcPr>
            <w:tcW w:w="2342"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left"/>
              <w:rPr>
                <w:rFonts w:ascii="仿宋" w:hAnsi="仿宋" w:eastAsia="仿宋"/>
                <w:szCs w:val="21"/>
              </w:rPr>
            </w:pPr>
            <w:r>
              <w:rPr>
                <w:rFonts w:hint="eastAsia" w:ascii="仿宋" w:hAnsi="仿宋" w:eastAsia="仿宋"/>
                <w:szCs w:val="21"/>
              </w:rPr>
              <w:t>账</w:t>
            </w:r>
            <w:r>
              <w:rPr>
                <w:rFonts w:ascii="仿宋" w:hAnsi="仿宋" w:eastAsia="仿宋"/>
                <w:szCs w:val="21"/>
              </w:rPr>
              <w:t xml:space="preserve"> </w:t>
            </w:r>
            <w:r>
              <w:rPr>
                <w:rFonts w:hint="eastAsia" w:ascii="仿宋" w:hAnsi="仿宋" w:eastAsia="仿宋"/>
                <w:szCs w:val="21"/>
              </w:rPr>
              <w:t>号</w:t>
            </w:r>
          </w:p>
        </w:tc>
        <w:tc>
          <w:tcPr>
            <w:tcW w:w="5763"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仿宋" w:hAnsi="仿宋" w:eastAsia="仿宋"/>
                <w:szCs w:val="21"/>
              </w:rPr>
            </w:pPr>
            <w:r>
              <w:rPr>
                <w:rFonts w:hint="eastAsia" w:ascii="仿宋" w:hAnsi="仿宋" w:eastAsia="仿宋"/>
                <w:szCs w:val="21"/>
              </w:rPr>
              <w:t>12086 00104 0019783</w:t>
            </w:r>
          </w:p>
        </w:tc>
      </w:tr>
      <w:tr>
        <w:tblPrEx>
          <w:tblCellMar>
            <w:top w:w="0" w:type="dxa"/>
            <w:left w:w="0" w:type="dxa"/>
            <w:bottom w:w="0" w:type="dxa"/>
            <w:right w:w="0" w:type="dxa"/>
          </w:tblCellMar>
        </w:tblPrEx>
        <w:trPr>
          <w:trHeight w:val="533" w:hRule="atLeast"/>
        </w:trPr>
        <w:tc>
          <w:tcPr>
            <w:tcW w:w="2342"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left"/>
              <w:rPr>
                <w:rFonts w:ascii="仿宋" w:hAnsi="仿宋" w:eastAsia="仿宋"/>
                <w:szCs w:val="21"/>
              </w:rPr>
            </w:pPr>
            <w:r>
              <w:rPr>
                <w:rFonts w:hint="eastAsia" w:ascii="仿宋" w:hAnsi="仿宋" w:eastAsia="仿宋"/>
                <w:szCs w:val="21"/>
              </w:rPr>
              <w:t>开户银行</w:t>
            </w:r>
          </w:p>
        </w:tc>
        <w:tc>
          <w:tcPr>
            <w:tcW w:w="5763"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left"/>
              <w:rPr>
                <w:rFonts w:ascii="仿宋" w:hAnsi="仿宋" w:eastAsia="仿宋"/>
                <w:szCs w:val="21"/>
              </w:rPr>
            </w:pPr>
            <w:r>
              <w:rPr>
                <w:rFonts w:hint="eastAsia" w:ascii="仿宋" w:hAnsi="仿宋" w:eastAsia="仿宋"/>
                <w:szCs w:val="21"/>
              </w:rPr>
              <w:t>中国农业银行股份有限公司合肥蜀山区支行</w:t>
            </w:r>
          </w:p>
        </w:tc>
      </w:tr>
      <w:tr>
        <w:tblPrEx>
          <w:tblCellMar>
            <w:top w:w="0" w:type="dxa"/>
            <w:left w:w="0" w:type="dxa"/>
            <w:bottom w:w="0" w:type="dxa"/>
            <w:right w:w="0" w:type="dxa"/>
          </w:tblCellMar>
        </w:tblPrEx>
        <w:trPr>
          <w:trHeight w:val="533" w:hRule="atLeast"/>
        </w:trPr>
        <w:tc>
          <w:tcPr>
            <w:tcW w:w="2342"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left"/>
              <w:rPr>
                <w:rFonts w:ascii="仿宋" w:hAnsi="仿宋" w:eastAsia="仿宋"/>
                <w:szCs w:val="21"/>
              </w:rPr>
            </w:pPr>
            <w:r>
              <w:rPr>
                <w:rFonts w:hint="eastAsia" w:ascii="仿宋" w:hAnsi="仿宋" w:eastAsia="仿宋"/>
                <w:szCs w:val="21"/>
              </w:rPr>
              <w:t>保证金金额</w:t>
            </w:r>
          </w:p>
        </w:tc>
        <w:tc>
          <w:tcPr>
            <w:tcW w:w="5763"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仿宋" w:hAnsi="仿宋" w:eastAsia="仿宋"/>
                <w:szCs w:val="21"/>
              </w:rPr>
            </w:pPr>
            <w:r>
              <w:rPr>
                <w:rFonts w:hint="eastAsia" w:ascii="仿宋" w:hAnsi="仿宋" w:eastAsia="仿宋"/>
                <w:szCs w:val="21"/>
              </w:rPr>
              <w:t>4</w:t>
            </w:r>
            <w:r>
              <w:rPr>
                <w:rFonts w:ascii="仿宋" w:hAnsi="仿宋" w:eastAsia="仿宋"/>
                <w:szCs w:val="21"/>
              </w:rPr>
              <w:t>000.00</w:t>
            </w:r>
            <w:r>
              <w:rPr>
                <w:rFonts w:hint="eastAsia" w:ascii="仿宋" w:hAnsi="仿宋" w:eastAsia="仿宋"/>
                <w:szCs w:val="21"/>
              </w:rPr>
              <w:t>元</w:t>
            </w:r>
          </w:p>
        </w:tc>
      </w:tr>
      <w:tr>
        <w:tblPrEx>
          <w:tblCellMar>
            <w:top w:w="0" w:type="dxa"/>
            <w:left w:w="0" w:type="dxa"/>
            <w:bottom w:w="0" w:type="dxa"/>
            <w:right w:w="0" w:type="dxa"/>
          </w:tblCellMar>
        </w:tblPrEx>
        <w:trPr>
          <w:trHeight w:val="617" w:hRule="atLeast"/>
        </w:trPr>
        <w:tc>
          <w:tcPr>
            <w:tcW w:w="2342"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left"/>
              <w:rPr>
                <w:rFonts w:ascii="仿宋" w:hAnsi="仿宋" w:eastAsia="仿宋"/>
                <w:szCs w:val="21"/>
              </w:rPr>
            </w:pPr>
            <w:r>
              <w:rPr>
                <w:rFonts w:hint="eastAsia" w:ascii="仿宋" w:hAnsi="仿宋" w:eastAsia="仿宋"/>
                <w:szCs w:val="21"/>
              </w:rPr>
              <w:t>交款方式</w:t>
            </w:r>
          </w:p>
        </w:tc>
        <w:tc>
          <w:tcPr>
            <w:tcW w:w="5763"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left"/>
              <w:rPr>
                <w:rFonts w:ascii="仿宋" w:hAnsi="仿宋" w:eastAsia="仿宋"/>
                <w:szCs w:val="21"/>
              </w:rPr>
            </w:pPr>
            <w:r>
              <w:rPr>
                <w:rFonts w:hint="eastAsia" w:ascii="仿宋" w:hAnsi="仿宋" w:eastAsia="仿宋"/>
                <w:szCs w:val="21"/>
              </w:rPr>
              <w:t>供应商须从单位账户转账、汇款、支票提交，或者以金融机构、担保机构出具的保函形式提交，并备注“*</w:t>
            </w:r>
            <w:r>
              <w:rPr>
                <w:rFonts w:ascii="仿宋" w:hAnsi="仿宋" w:eastAsia="仿宋"/>
                <w:szCs w:val="21"/>
              </w:rPr>
              <w:t>*</w:t>
            </w:r>
            <w:r>
              <w:rPr>
                <w:rFonts w:hint="eastAsia" w:ascii="仿宋" w:hAnsi="仿宋" w:eastAsia="仿宋"/>
                <w:szCs w:val="21"/>
              </w:rPr>
              <w:t>项目保证金”。</w:t>
            </w:r>
          </w:p>
        </w:tc>
      </w:tr>
      <w:tr>
        <w:tblPrEx>
          <w:tblCellMar>
            <w:top w:w="0" w:type="dxa"/>
            <w:left w:w="0" w:type="dxa"/>
            <w:bottom w:w="0" w:type="dxa"/>
            <w:right w:w="0" w:type="dxa"/>
          </w:tblCellMar>
        </w:tblPrEx>
        <w:trPr>
          <w:trHeight w:val="554" w:hRule="atLeast"/>
        </w:trPr>
        <w:tc>
          <w:tcPr>
            <w:tcW w:w="2342"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left"/>
              <w:rPr>
                <w:rFonts w:ascii="仿宋" w:hAnsi="仿宋" w:eastAsia="仿宋"/>
                <w:szCs w:val="21"/>
              </w:rPr>
            </w:pPr>
            <w:r>
              <w:rPr>
                <w:rFonts w:hint="eastAsia" w:ascii="仿宋" w:hAnsi="仿宋" w:eastAsia="仿宋"/>
                <w:szCs w:val="21"/>
              </w:rPr>
              <w:t>交款到账截止时间</w:t>
            </w:r>
          </w:p>
        </w:tc>
        <w:tc>
          <w:tcPr>
            <w:tcW w:w="5763"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left"/>
              <w:rPr>
                <w:rFonts w:ascii="仿宋" w:hAnsi="仿宋" w:eastAsia="仿宋"/>
                <w:szCs w:val="21"/>
              </w:rPr>
            </w:pPr>
            <w:r>
              <w:rPr>
                <w:rFonts w:hint="eastAsia" w:ascii="仿宋" w:hAnsi="仿宋" w:eastAsia="仿宋"/>
                <w:szCs w:val="21"/>
              </w:rPr>
              <w:t>磋商日前</w:t>
            </w:r>
          </w:p>
        </w:tc>
      </w:tr>
    </w:tbl>
    <w:p>
      <w:pPr>
        <w:widowControl/>
        <w:spacing w:line="360" w:lineRule="auto"/>
        <w:ind w:firstLine="420"/>
        <w:rPr>
          <w:rFonts w:ascii="宋体"/>
          <w:sz w:val="22"/>
        </w:rPr>
      </w:pPr>
      <w:r>
        <w:rPr>
          <w:rFonts w:hint="eastAsia" w:ascii="宋体"/>
          <w:b/>
          <w:color w:val="000000"/>
          <w:sz w:val="22"/>
        </w:rPr>
        <w:t>注：供应商在磋商日前将保证金打入以上账户，并将银行回单等证明材料放入标书内，否则按废标处理。</w:t>
      </w:r>
      <w:r>
        <w:rPr>
          <w:rFonts w:ascii="宋体"/>
          <w:b/>
          <w:color w:val="000000"/>
          <w:sz w:val="22"/>
        </w:rPr>
        <w:br w:type="textWrapping"/>
      </w:r>
      <w:r>
        <w:rPr>
          <w:rFonts w:hint="eastAsia" w:ascii="宋体"/>
          <w:b/>
          <w:color w:val="000000"/>
          <w:sz w:val="22"/>
        </w:rPr>
        <w:t xml:space="preserve">    缴纳保证金的供应商应在采购文件领取页面自行下载《保证金退还申请函》，并在递交响应文件的同时递交已填写盖章的保证金退还申请，否则因此导致的保证金退还时效延误等后果将由供应商自行承担。</w:t>
      </w:r>
    </w:p>
    <w:p>
      <w:pPr>
        <w:widowControl/>
        <w:shd w:val="clear" w:color="000000" w:fill="FFFFFF"/>
        <w:spacing w:line="360" w:lineRule="auto"/>
        <w:ind w:firstLine="442"/>
        <w:rPr>
          <w:rFonts w:ascii="宋体"/>
          <w:b/>
          <w:color w:val="000000"/>
          <w:sz w:val="22"/>
        </w:rPr>
      </w:pPr>
    </w:p>
    <w:p>
      <w:pPr>
        <w:widowControl/>
        <w:shd w:val="clear" w:color="000000" w:fill="FFFFFF"/>
        <w:spacing w:line="360" w:lineRule="auto"/>
        <w:ind w:firstLine="442"/>
        <w:rPr>
          <w:rFonts w:ascii="宋体"/>
          <w:b/>
          <w:color w:val="000000"/>
          <w:sz w:val="22"/>
        </w:rPr>
      </w:pPr>
      <w:r>
        <w:rPr>
          <w:rFonts w:hint="eastAsia" w:ascii="宋体"/>
          <w:b/>
          <w:color w:val="000000"/>
          <w:sz w:val="22"/>
        </w:rPr>
        <w:t>九、投诉方式：</w:t>
      </w:r>
    </w:p>
    <w:p>
      <w:pPr>
        <w:widowControl/>
        <w:snapToGrid w:val="0"/>
        <w:spacing w:line="360" w:lineRule="auto"/>
        <w:ind w:firstLine="420"/>
        <w:rPr>
          <w:rFonts w:ascii="宋体"/>
          <w:color w:val="000000"/>
          <w:sz w:val="22"/>
          <w:szCs w:val="22"/>
        </w:rPr>
      </w:pPr>
      <w:r>
        <w:rPr>
          <w:rFonts w:hint="eastAsia" w:ascii="宋体"/>
          <w:color w:val="000000"/>
          <w:sz w:val="22"/>
          <w:szCs w:val="22"/>
        </w:rPr>
        <w:t>（</w:t>
      </w:r>
      <w:r>
        <w:rPr>
          <w:rFonts w:ascii="宋体"/>
          <w:color w:val="000000"/>
          <w:sz w:val="22"/>
          <w:szCs w:val="22"/>
        </w:rPr>
        <w:t>1</w:t>
      </w:r>
      <w:r>
        <w:rPr>
          <w:rFonts w:hint="eastAsia" w:ascii="宋体"/>
          <w:color w:val="000000"/>
          <w:sz w:val="22"/>
          <w:szCs w:val="22"/>
        </w:rPr>
        <w:t>）安徽宝申工程项目管理咨询有限公司 ；联系方式：</w:t>
      </w:r>
      <w:r>
        <w:rPr>
          <w:rFonts w:ascii="宋体"/>
          <w:color w:val="000000"/>
          <w:sz w:val="22"/>
          <w:szCs w:val="22"/>
        </w:rPr>
        <w:t>0562-5850718</w:t>
      </w:r>
    </w:p>
    <w:p>
      <w:pPr>
        <w:widowControl/>
        <w:snapToGrid w:val="0"/>
        <w:spacing w:line="360" w:lineRule="auto"/>
        <w:ind w:firstLine="420"/>
        <w:rPr>
          <w:rFonts w:ascii="宋体"/>
          <w:color w:val="000000"/>
          <w:sz w:val="22"/>
        </w:rPr>
      </w:pPr>
      <w:r>
        <w:rPr>
          <w:rFonts w:hint="eastAsia" w:ascii="宋体"/>
          <w:color w:val="000000"/>
          <w:sz w:val="22"/>
        </w:rPr>
        <w:t>（</w:t>
      </w:r>
      <w:r>
        <w:rPr>
          <w:rFonts w:ascii="宋体"/>
          <w:color w:val="000000"/>
          <w:sz w:val="22"/>
        </w:rPr>
        <w:t>2</w:t>
      </w:r>
      <w:r>
        <w:rPr>
          <w:rFonts w:hint="eastAsia" w:ascii="宋体"/>
          <w:color w:val="000000"/>
          <w:sz w:val="22"/>
        </w:rPr>
        <w:t>）铜陵学院；联系方式：0</w:t>
      </w:r>
      <w:r>
        <w:rPr>
          <w:rFonts w:ascii="宋体"/>
          <w:color w:val="000000"/>
          <w:sz w:val="22"/>
        </w:rPr>
        <w:t>562-5881058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3YTRkNzMyNGRiZTMxMzY1YzcxZDZjMTM5ZjI3NzcifQ=="/>
  </w:docVars>
  <w:rsids>
    <w:rsidRoot w:val="00C774F5"/>
    <w:rsid w:val="00006898"/>
    <w:rsid w:val="000E59B3"/>
    <w:rsid w:val="00102F58"/>
    <w:rsid w:val="001132B7"/>
    <w:rsid w:val="001B0BA7"/>
    <w:rsid w:val="001B70E5"/>
    <w:rsid w:val="002E3458"/>
    <w:rsid w:val="00306D52"/>
    <w:rsid w:val="00343879"/>
    <w:rsid w:val="003B5729"/>
    <w:rsid w:val="003D63A6"/>
    <w:rsid w:val="00642ACD"/>
    <w:rsid w:val="006972ED"/>
    <w:rsid w:val="00763ED5"/>
    <w:rsid w:val="00765F94"/>
    <w:rsid w:val="0083038E"/>
    <w:rsid w:val="00833242"/>
    <w:rsid w:val="0097080F"/>
    <w:rsid w:val="009B55F4"/>
    <w:rsid w:val="009C2F27"/>
    <w:rsid w:val="00A959B0"/>
    <w:rsid w:val="00AC2476"/>
    <w:rsid w:val="00AF5501"/>
    <w:rsid w:val="00B5312F"/>
    <w:rsid w:val="00B6635A"/>
    <w:rsid w:val="00C10212"/>
    <w:rsid w:val="00C774F5"/>
    <w:rsid w:val="00CD1E65"/>
    <w:rsid w:val="00CD2BDB"/>
    <w:rsid w:val="00D47A37"/>
    <w:rsid w:val="00D524A5"/>
    <w:rsid w:val="00D63BD1"/>
    <w:rsid w:val="00D701E3"/>
    <w:rsid w:val="00D92907"/>
    <w:rsid w:val="00DC203E"/>
    <w:rsid w:val="00E52476"/>
    <w:rsid w:val="00E917A0"/>
    <w:rsid w:val="00EC6CC3"/>
    <w:rsid w:val="00FA4832"/>
    <w:rsid w:val="2A765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0"/>
      <w:sz w:val="21"/>
      <w:szCs w:val="20"/>
      <w:lang w:val="en-US" w:eastAsia="zh-CN" w:bidi="ar-SA"/>
    </w:rPr>
  </w:style>
  <w:style w:type="paragraph" w:styleId="2">
    <w:name w:val="heading 1"/>
    <w:basedOn w:val="1"/>
    <w:next w:val="1"/>
    <w:link w:val="1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uiPriority w:val="0"/>
    <w:rPr>
      <w:color w:val="333333"/>
      <w:sz w:val="20"/>
      <w:u w:val="none"/>
    </w:rPr>
  </w:style>
  <w:style w:type="character" w:customStyle="1" w:styleId="9">
    <w:name w:val="页眉 字符"/>
    <w:basedOn w:val="7"/>
    <w:link w:val="4"/>
    <w:uiPriority w:val="99"/>
    <w:rPr>
      <w:rFonts w:ascii="Times New Roman" w:hAnsi="Times New Roman" w:eastAsia="宋体" w:cs="Times New Roman"/>
      <w:kern w:val="0"/>
      <w:sz w:val="18"/>
      <w:szCs w:val="18"/>
    </w:rPr>
  </w:style>
  <w:style w:type="character" w:customStyle="1" w:styleId="10">
    <w:name w:val="页脚 字符"/>
    <w:basedOn w:val="7"/>
    <w:link w:val="3"/>
    <w:uiPriority w:val="99"/>
    <w:rPr>
      <w:rFonts w:ascii="Times New Roman" w:hAnsi="Times New Roman" w:eastAsia="宋体" w:cs="Times New Roman"/>
      <w:kern w:val="0"/>
      <w:sz w:val="18"/>
      <w:szCs w:val="18"/>
    </w:rPr>
  </w:style>
  <w:style w:type="character" w:customStyle="1" w:styleId="11">
    <w:name w:val="标题 1 字符"/>
    <w:basedOn w:val="7"/>
    <w:link w:val="2"/>
    <w:uiPriority w:val="0"/>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惠普</Company>
  <Pages>4</Pages>
  <Words>2223</Words>
  <Characters>2498</Characters>
  <Lines>19</Lines>
  <Paragraphs>5</Paragraphs>
  <TotalTime>0</TotalTime>
  <ScaleCrop>false</ScaleCrop>
  <LinksUpToDate>false</LinksUpToDate>
  <CharactersWithSpaces>2519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2022-11-18T07:58:00Z</dcterms:created>
  <dc:creator>NTKO</dc:creator>
  <cp:lastModifiedBy>zooey☻栗果儿</cp:lastModifiedBy>
  <dcterms:modified xsi:type="dcterms:W3CDTF">2022-11-18T08:15:16Z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C61B4B6AF6A9449683F26A101F7D2646</vt:lpwstr>
  </property>
</Properties>
</file>